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3BF2" w14:textId="1AA021D4" w:rsidR="005D6140" w:rsidRDefault="005D6140" w:rsidP="005D6140">
      <w:bookmarkStart w:id="0" w:name="_Hlk495067231"/>
      <w:r>
        <w:t xml:space="preserve">Undirritaðir aðilar, </w:t>
      </w:r>
      <w:proofErr w:type="spellStart"/>
      <w:r>
        <w:t>Zenter</w:t>
      </w:r>
      <w:proofErr w:type="spellEnd"/>
      <w:r>
        <w:t xml:space="preserve"> ehf., kt. 700414-0190</w:t>
      </w:r>
      <w:r w:rsidRPr="0079632C">
        <w:t xml:space="preserve">, </w:t>
      </w:r>
      <w:r>
        <w:t>Laugavegi 178, 105 Reykjavík ( „</w:t>
      </w:r>
      <w:r>
        <w:rPr>
          <w:b/>
        </w:rPr>
        <w:t>þjónustuveitandi</w:t>
      </w:r>
      <w:r>
        <w:t>“) og [</w:t>
      </w:r>
      <w:r w:rsidRPr="008C7B8F">
        <w:rPr>
          <w:highlight w:val="yellow"/>
        </w:rPr>
        <w:t>●</w:t>
      </w:r>
      <w:r>
        <w:t>]., kt. [</w:t>
      </w:r>
      <w:r w:rsidRPr="008C7B8F">
        <w:rPr>
          <w:highlight w:val="yellow"/>
        </w:rPr>
        <w:t>●</w:t>
      </w:r>
      <w:r>
        <w:t>]</w:t>
      </w:r>
      <w:r w:rsidRPr="0079632C">
        <w:t xml:space="preserve">, </w:t>
      </w:r>
      <w:r>
        <w:t>[</w:t>
      </w:r>
      <w:r w:rsidRPr="008C7B8F">
        <w:rPr>
          <w:highlight w:val="yellow"/>
        </w:rPr>
        <w:t>●</w:t>
      </w:r>
      <w:r>
        <w:t>], [</w:t>
      </w:r>
      <w:r w:rsidRPr="008C7B8F">
        <w:rPr>
          <w:highlight w:val="yellow"/>
        </w:rPr>
        <w:t>●</w:t>
      </w:r>
      <w:r>
        <w:t>]r „</w:t>
      </w:r>
      <w:r w:rsidR="000735E4">
        <w:rPr>
          <w:b/>
        </w:rPr>
        <w:t>þjónustukaupi</w:t>
      </w:r>
      <w:r>
        <w:t>“), sameiginlega nefndir „</w:t>
      </w:r>
      <w:r w:rsidRPr="00E0511E">
        <w:rPr>
          <w:b/>
        </w:rPr>
        <w:t>aðilar</w:t>
      </w:r>
      <w:r>
        <w:t xml:space="preserve">“, hafa ákveðið að gera með sér svohljóðandi </w:t>
      </w:r>
    </w:p>
    <w:p w14:paraId="266093A6" w14:textId="77777777" w:rsidR="005D6140" w:rsidRDefault="005D6140" w:rsidP="005D6140">
      <w:pPr>
        <w:jc w:val="center"/>
        <w:rPr>
          <w:b/>
        </w:rPr>
      </w:pPr>
      <w:r>
        <w:rPr>
          <w:b/>
        </w:rPr>
        <w:t>SAMNING UM VINNSLU PERSÓNUUPPLÝSINGA</w:t>
      </w:r>
    </w:p>
    <w:p w14:paraId="620D0DE3" w14:textId="77777777" w:rsidR="005D6140" w:rsidRPr="002D75C6" w:rsidRDefault="005D6140" w:rsidP="005D6140">
      <w:pPr>
        <w:jc w:val="left"/>
        <w:rPr>
          <w:b/>
        </w:rPr>
      </w:pPr>
      <w:r w:rsidRPr="002D75C6">
        <w:rPr>
          <w:b/>
        </w:rPr>
        <w:t>BAKGRUNNUR</w:t>
      </w:r>
    </w:p>
    <w:p w14:paraId="29DA9B5A" w14:textId="0114C576" w:rsidR="005D6140" w:rsidRDefault="000735E4" w:rsidP="005D6140">
      <w:pPr>
        <w:spacing w:after="0"/>
      </w:pPr>
      <w:r>
        <w:t>Samkvæmt þjónustusamningi, dags.</w:t>
      </w:r>
      <w:r w:rsidR="005D6140">
        <w:t>[</w:t>
      </w:r>
      <w:r w:rsidR="005D6140" w:rsidRPr="008C7B8F">
        <w:rPr>
          <w:highlight w:val="yellow"/>
        </w:rPr>
        <w:t>●</w:t>
      </w:r>
      <w:r w:rsidR="005D6140">
        <w:t>]</w:t>
      </w:r>
      <w:r>
        <w:t xml:space="preserve"> fær þjónustukaupi aðgang að vef- og markaðskerfi þjónustuveitanda. Þjónus</w:t>
      </w:r>
      <w:r w:rsidR="00E66A36">
        <w:t>tuveitandi rekur,</w:t>
      </w:r>
      <w:r w:rsidR="00023C53">
        <w:t xml:space="preserve"> þjónustar, þróar og </w:t>
      </w:r>
      <w:r w:rsidR="00E66A36">
        <w:t xml:space="preserve">hýsir kerfið. </w:t>
      </w:r>
    </w:p>
    <w:p w14:paraId="42869606" w14:textId="77777777" w:rsidR="005D6140" w:rsidRDefault="005D6140" w:rsidP="005D6140">
      <w:pPr>
        <w:spacing w:after="0"/>
      </w:pPr>
    </w:p>
    <w:p w14:paraId="40364536" w14:textId="72826633" w:rsidR="005D6140" w:rsidRDefault="00E66A36" w:rsidP="005D6140">
      <w:r>
        <w:t>Á grundvelli þjónustusamningsins mun þjónustuveitandi vinna upplýsingar fyrir hönd þjónustukaupa sem teljast til persónuupplýsinga í skilningi laga nr. 90/2018 um persónuvernd og vinnslu persónuupplýsinga („</w:t>
      </w:r>
      <w:r w:rsidRPr="00516279">
        <w:rPr>
          <w:b/>
          <w:bCs/>
        </w:rPr>
        <w:t>persónuverndarlög</w:t>
      </w:r>
      <w:r>
        <w:t xml:space="preserve">“). </w:t>
      </w:r>
    </w:p>
    <w:p w14:paraId="7D0A0B12" w14:textId="01E6B979" w:rsidR="005D6140" w:rsidRDefault="00E66A36" w:rsidP="005D6140">
      <w:r>
        <w:t xml:space="preserve">Þegar þjónustuveitandi vinnur persónuupplýsingar fyrir hönd þjónustukaupa telst hann </w:t>
      </w:r>
      <w:r w:rsidRPr="00516279">
        <w:rPr>
          <w:b/>
          <w:bCs/>
        </w:rPr>
        <w:t>vinnsluaðili</w:t>
      </w:r>
      <w:r>
        <w:t xml:space="preserve"> í skilningi persónuverndarlaga en þjónustukaupi </w:t>
      </w:r>
      <w:r w:rsidRPr="00516279">
        <w:rPr>
          <w:b/>
          <w:bCs/>
        </w:rPr>
        <w:t>ábyrgðaraðili</w:t>
      </w:r>
      <w:r>
        <w:t xml:space="preserve"> og er notast við þau hugtök í samningi þessum.</w:t>
      </w:r>
    </w:p>
    <w:p w14:paraId="0557A54F" w14:textId="02AE6C65" w:rsidR="005D6140" w:rsidRPr="00CA1327" w:rsidRDefault="005D6140" w:rsidP="005D6140">
      <w:r>
        <w:t>Samningur þessi um vinnslu persónuupplýsinga</w:t>
      </w:r>
      <w:r w:rsidR="00C8163D">
        <w:t xml:space="preserve"> telst</w:t>
      </w:r>
      <w:r w:rsidR="00B5361F">
        <w:t xml:space="preserve"> </w:t>
      </w:r>
      <w:r>
        <w:t>vinnslusamningur</w:t>
      </w:r>
      <w:r w:rsidR="00102727">
        <w:t xml:space="preserve"> </w:t>
      </w:r>
      <w:r w:rsidRPr="00537735">
        <w:t>milli</w:t>
      </w:r>
      <w:r>
        <w:t xml:space="preserve"> aðila í skilningi persónuverndarlaga. Tilgangur þessa vinnslusamnings er að kveða með skýrum hætti á um vinnslu vinnsluaðila á persónuupplýsingum fyrir hönd ábyrgðaraðila, einkum með það að markmiði að tryggja örugga meðferð slíkra persónuupplýsinga</w:t>
      </w:r>
      <w:r w:rsidR="00E66A36">
        <w:t xml:space="preserve">. </w:t>
      </w:r>
    </w:p>
    <w:p w14:paraId="72F93D7A" w14:textId="77777777" w:rsidR="005D6140" w:rsidRDefault="005D6140" w:rsidP="005D6140">
      <w:pPr>
        <w:pStyle w:val="Fyrirsgn1"/>
      </w:pPr>
      <w:r w:rsidRPr="00165D7C">
        <w:t>VINNSLA</w:t>
      </w:r>
      <w:r w:rsidRPr="002D75C6">
        <w:t xml:space="preserve"> PERSÓNUUPPLÝSINGA OG FLOKKAR PERSÓNUUPPLÝSINGA OG SKRÁÐRA AÐILA</w:t>
      </w:r>
    </w:p>
    <w:p w14:paraId="5EB860F6" w14:textId="77777777" w:rsidR="005D6140" w:rsidRPr="00171924" w:rsidRDefault="005D6140" w:rsidP="005D6140">
      <w:pPr>
        <w:pStyle w:val="Fyrirsgn2"/>
        <w:rPr>
          <w:b/>
        </w:rPr>
      </w:pPr>
      <w:r w:rsidRPr="00165D7C">
        <w:t>Frekari</w:t>
      </w:r>
      <w:r>
        <w:t xml:space="preserve"> útfærslu á vinnslu persónuupplýsinga fyrir hönd ábyrgðaraðila, svo sem hvað varðar tilgang vinnslunnar, þær persónuupplýsingar sem vinnsluaðili vinnur fyrir hönd ábyrgðaraðila („</w:t>
      </w:r>
      <w:r w:rsidRPr="00171924">
        <w:rPr>
          <w:b/>
        </w:rPr>
        <w:t>persónuupplýsingarnar</w:t>
      </w:r>
      <w:r>
        <w:t>“) og þeir flokkar skráðra aðila sem vinnsluaðili vinnur persónuupplýsingar um fyrir hönd ábyrgðaraðila („</w:t>
      </w:r>
      <w:r w:rsidRPr="00171924">
        <w:rPr>
          <w:b/>
        </w:rPr>
        <w:t>hinir skráðu</w:t>
      </w:r>
      <w:r>
        <w:t>“) má finna í viðauka 1 við vinnslusamning þennan.</w:t>
      </w:r>
    </w:p>
    <w:p w14:paraId="626CB015" w14:textId="1B859CDE" w:rsidR="005D6140" w:rsidRDefault="005D6140" w:rsidP="005D6140">
      <w:pPr>
        <w:pStyle w:val="Fyrirsgn2"/>
      </w:pPr>
      <w:r>
        <w:t xml:space="preserve">Þær skyldur sem hvíla á ábyrgðaraðila samkvæmt persónuverndarlögum gilda einnig um þá </w:t>
      </w:r>
      <w:r w:rsidRPr="00165D7C">
        <w:t>vinnslu</w:t>
      </w:r>
      <w:r>
        <w:t xml:space="preserve"> persónuupplýsinga sem vinnsluaðili annast fyrir hönd ábyrgðaraðila.</w:t>
      </w:r>
    </w:p>
    <w:p w14:paraId="7EABF2FC" w14:textId="77777777" w:rsidR="005D6140" w:rsidRDefault="005D6140" w:rsidP="005D6140">
      <w:pPr>
        <w:pStyle w:val="Fyrirsgn1"/>
      </w:pPr>
      <w:r>
        <w:t>SKYLDUR VINNSLUAÐILA</w:t>
      </w:r>
    </w:p>
    <w:p w14:paraId="2595BA30" w14:textId="77777777" w:rsidR="005D6140" w:rsidRDefault="005D6140" w:rsidP="005D6140">
      <w:pPr>
        <w:pStyle w:val="Fyrirsgn2"/>
      </w:pPr>
      <w:r>
        <w:t xml:space="preserve">Vinnsluaðila er einungis heimilt að vinna persónuupplýsingar fyrir hönd ábyrgðaraðila á grundvelli þessa vinnslusamnings og á grundvelli skriflegra fyrirmæla frá ábyrgðaraðila. Vinnsluaðila er ekki heimilt að vinna persónuupplýsingar í öðrum tilgangi en fram kemur í þjónustusamningi og/eða vinnslusamningi þessum. </w:t>
      </w:r>
    </w:p>
    <w:p w14:paraId="7C149B06" w14:textId="77777777" w:rsidR="005D6140" w:rsidRDefault="005D6140" w:rsidP="005D6140">
      <w:pPr>
        <w:pStyle w:val="Fyrirsgn2"/>
      </w:pPr>
      <w:r>
        <w:t xml:space="preserve">Vinnsluaðila er heimilt að vinna persónuupplýsingar án fyrirmæla frá ábyrgðaraðila ef vinnsluaðila er slíkt skylt á grundvelli </w:t>
      </w:r>
      <w:proofErr w:type="spellStart"/>
      <w:r>
        <w:t>ófrávíkjanlegra</w:t>
      </w:r>
      <w:proofErr w:type="spellEnd"/>
      <w:r>
        <w:t xml:space="preserve"> laga. Í slíkum tilvikum skal vinnsluaðili upplýsa ábyrgðaraðila um lagaskylduna áður en vinnslan hefst, nema slíkt sé óheimilt. </w:t>
      </w:r>
    </w:p>
    <w:p w14:paraId="3D8C4258" w14:textId="77777777" w:rsidR="005D6140" w:rsidRDefault="005D6140" w:rsidP="005D6140">
      <w:pPr>
        <w:pStyle w:val="Fyrirsgn2"/>
      </w:pPr>
      <w:r>
        <w:t xml:space="preserve">Vinnsluaðili skal gera ráðstafanir til að tryggja að starfsmenn hans, og aðrir sem hafa aðgang að persónuupplýsingum, vinni upplýsingarnar eingöngu í samræmi við fyrirmæli ábyrgðaraðila. </w:t>
      </w:r>
    </w:p>
    <w:p w14:paraId="48DA0BE6" w14:textId="729F662C" w:rsidR="005D6140" w:rsidRDefault="005D6140" w:rsidP="005D6140">
      <w:pPr>
        <w:pStyle w:val="Fyrirsgn2"/>
      </w:pPr>
      <w:r>
        <w:lastRenderedPageBreak/>
        <w:t>Telji vinnsluaðili að fyrirmæli ábyrgðaraðila brjóti í bága við persónuverndarlög skal vinnsluaðili tilkynna ábyrgðaraðila um það þegar í stað. Ábyrgðaraðili getur þrátt fyrir það farið fram á að vinnsluaðili haldi vinnslu áfram, en ábyrgðaraðili ber þá ábyrgð á slíkri vinnslu gagnvart vinnsluaðila, sbr. grein 1</w:t>
      </w:r>
      <w:r w:rsidR="00315816">
        <w:t>1</w:t>
      </w:r>
      <w:r>
        <w:t>.</w:t>
      </w:r>
      <w:r w:rsidR="009B4B4D">
        <w:t>1</w:t>
      </w:r>
      <w:r>
        <w:t>.</w:t>
      </w:r>
    </w:p>
    <w:p w14:paraId="70075FE7" w14:textId="77777777" w:rsidR="005D6140" w:rsidRPr="00AE6AD0" w:rsidRDefault="005D6140" w:rsidP="005D6140">
      <w:pPr>
        <w:pStyle w:val="Fyrirsgn2"/>
      </w:pPr>
      <w:bookmarkStart w:id="1" w:name="_Hlk495069323"/>
      <w:r>
        <w:t>Fari vinnsla vinnsluaðila í bága við fyrirmæli ábyrgðaraðila ber vinnsluaðili ábyrgð á þeirri vinnslu eins og hann væri sjálfur ábyrgðaraðili vinnslunnar.</w:t>
      </w:r>
    </w:p>
    <w:bookmarkEnd w:id="1"/>
    <w:p w14:paraId="65F70997" w14:textId="77777777" w:rsidR="005D6140" w:rsidRDefault="005D6140" w:rsidP="005D6140">
      <w:pPr>
        <w:pStyle w:val="Fyrirsgn1"/>
      </w:pPr>
      <w:r>
        <w:t>SKYLDUR ÁBYRGÐARAÐILA</w:t>
      </w:r>
    </w:p>
    <w:p w14:paraId="5137DC9E" w14:textId="77777777" w:rsidR="005D6140" w:rsidRDefault="005D6140" w:rsidP="005D6140">
      <w:pPr>
        <w:pStyle w:val="Fyrirsgn2"/>
      </w:pPr>
      <w:r>
        <w:t>Með vinnslusamningi þessum ábyrgist ábyrgðaraðili að hann hafi rétt til að vinna persónuupplýsingarnar</w:t>
      </w:r>
      <w:bookmarkStart w:id="2" w:name="_Hlk495069358"/>
      <w:r>
        <w:t>, þær séu unnar í samræmi við lög</w:t>
      </w:r>
      <w:bookmarkEnd w:id="2"/>
      <w:r>
        <w:t xml:space="preserve"> og að ábyrgðaraðili hafi rétt til að fela vinnsluaðila að vinna með þær.</w:t>
      </w:r>
    </w:p>
    <w:p w14:paraId="67176F6A" w14:textId="77777777" w:rsidR="005D6140" w:rsidRDefault="005D6140" w:rsidP="005D6140">
      <w:pPr>
        <w:pStyle w:val="Fyrirsgn2"/>
      </w:pPr>
      <w:r>
        <w:t xml:space="preserve">Ábyrgðaraðili skal bera ábyrgð á því að tilkynna um vinnsluna til Persónuverndar og afla leyfis fyrir vinnslunni, eftir því sem við á. </w:t>
      </w:r>
    </w:p>
    <w:p w14:paraId="091A236E" w14:textId="77777777" w:rsidR="005D6140" w:rsidRPr="0061718A" w:rsidRDefault="005D6140" w:rsidP="005D6140">
      <w:pPr>
        <w:pStyle w:val="Fyrirsgn2"/>
      </w:pPr>
      <w:r>
        <w:t>Ábyrgðaraðili skal tilkynna vinnsluaðila um breytingar á persónuverndarlöggjöf sem gæti haft veruleg áhrif á vinnsluna samkvæmt vinnslusamningi þessum.</w:t>
      </w:r>
    </w:p>
    <w:p w14:paraId="4ACDF858" w14:textId="77777777" w:rsidR="005D6140" w:rsidRDefault="005D6140" w:rsidP="005D6140">
      <w:pPr>
        <w:pStyle w:val="Fyrirsgn1"/>
      </w:pPr>
      <w:r>
        <w:t xml:space="preserve">TRÚNAÐARSKYLDA OG ÞJÁLFUN STARFSMANNA </w:t>
      </w:r>
    </w:p>
    <w:p w14:paraId="5ABD2973" w14:textId="77777777" w:rsidR="005D6140" w:rsidRDefault="005D6140" w:rsidP="005D6140">
      <w:pPr>
        <w:pStyle w:val="Fyrirsgn2"/>
      </w:pPr>
      <w:bookmarkStart w:id="3" w:name="_Hlk495069372"/>
      <w:r>
        <w:t>Með vinnslusamningi þessum ábyrgist vinnsluaðili að hann muni gæta fyllsta trúnaðar varðandi þær persónuupplýsingar sem hann fær aðgang að og/eða vitneskju um hjá ábyrgðaraðila.</w:t>
      </w:r>
      <w:r w:rsidRPr="00671934">
        <w:t xml:space="preserve"> </w:t>
      </w:r>
      <w:r>
        <w:t>Vinnsluaðila er óheimilt að veita þriðju aðilum upplýsingar um vinnsluna án leyfis ábyrgðaraðila.</w:t>
      </w:r>
    </w:p>
    <w:p w14:paraId="25EC06AF" w14:textId="77777777" w:rsidR="005D6140" w:rsidRDefault="005D6140" w:rsidP="005D6140">
      <w:pPr>
        <w:pStyle w:val="Fyrirsgn2"/>
      </w:pPr>
      <w:r>
        <w:t>Vinnsluaðili skal tryggja að starfsmenn hans og aðrir sem hafa aðgang að persónuupplýsingum séu bundnir trúnaðarskyldu um allt það sem þeir fá vitneskju um við framkvæmd vinnslu persónuupplýsinga fyrir hönd ábyrgðaraðila.</w:t>
      </w:r>
    </w:p>
    <w:p w14:paraId="6AC91C3F" w14:textId="77777777" w:rsidR="005D6140" w:rsidRDefault="005D6140" w:rsidP="005D6140">
      <w:pPr>
        <w:pStyle w:val="Fyrirsgn2"/>
      </w:pPr>
      <w:r>
        <w:t xml:space="preserve">Trúnaðarskyldan skal haldast þótt látið sé af starfi og þó samningur þessi falli úr gildi. </w:t>
      </w:r>
    </w:p>
    <w:p w14:paraId="404D9153" w14:textId="77777777" w:rsidR="005D6140" w:rsidRDefault="005D6140" w:rsidP="005D6140">
      <w:pPr>
        <w:pStyle w:val="Fyrirsgn2"/>
      </w:pPr>
      <w:r>
        <w:t>Vinnsluaðili skal gæta þess að aðgangur að persónuupplýsingunum sé takmarkaður við þá aðila sem nauðsynlega þurfa að hafa slíkan aðgang í því skyni að uppfylla skyldur samkvæmt samningi þessum.</w:t>
      </w:r>
    </w:p>
    <w:bookmarkEnd w:id="3"/>
    <w:p w14:paraId="7ACD017A" w14:textId="294F17DF" w:rsidR="005D6140" w:rsidRDefault="005D6140" w:rsidP="005D6140">
      <w:pPr>
        <w:pStyle w:val="Fyrirsgn2"/>
      </w:pPr>
      <w:r>
        <w:t xml:space="preserve">Vinnsluaðili skal tryggja að sömu aðilar, sbr. grein </w:t>
      </w:r>
      <w:r w:rsidR="0072541F">
        <w:t>4</w:t>
      </w:r>
      <w:r>
        <w:t xml:space="preserve">.2, hafi fengið </w:t>
      </w:r>
      <w:r w:rsidRPr="00C92E61">
        <w:t xml:space="preserve">fullnægjandi þjálfun og fræðslu um þær skyldur sem á </w:t>
      </w:r>
      <w:r>
        <w:t>vinnsluaðila</w:t>
      </w:r>
      <w:r w:rsidRPr="00C92E61">
        <w:t xml:space="preserve"> hvíl</w:t>
      </w:r>
      <w:r>
        <w:t xml:space="preserve">a í tengslum við </w:t>
      </w:r>
      <w:r w:rsidRPr="00C92E61">
        <w:t>vinnslu persónuupplýsinga</w:t>
      </w:r>
      <w:r>
        <w:t xml:space="preserve"> á grundvelli persónuverndarlaga og vinnslusamnings þessa</w:t>
      </w:r>
      <w:r w:rsidRPr="00C92E61">
        <w:t>.</w:t>
      </w:r>
    </w:p>
    <w:p w14:paraId="25BEADD7" w14:textId="77777777" w:rsidR="005D6140" w:rsidRDefault="005D6140" w:rsidP="005D6140">
      <w:pPr>
        <w:pStyle w:val="Fyrirsgn1"/>
      </w:pPr>
      <w:r>
        <w:t>ÖRYGGI PERSÓNUUPPLÝSINGA</w:t>
      </w:r>
    </w:p>
    <w:p w14:paraId="1F1FE926" w14:textId="4900D5D3" w:rsidR="005D6140" w:rsidRDefault="005D6140" w:rsidP="005D6140">
      <w:pPr>
        <w:pStyle w:val="Fyrirsgn2"/>
      </w:pPr>
      <w:r>
        <w:t xml:space="preserve">Vinnsluaðili skal gera viðeigandi tæknilegar og </w:t>
      </w:r>
      <w:proofErr w:type="spellStart"/>
      <w:r>
        <w:t>skipulagslegar</w:t>
      </w:r>
      <w:proofErr w:type="spellEnd"/>
      <w:r>
        <w:t xml:space="preserve"> ráðstafanir til að tryggja öryggi persónuupplýsinga þeirra sem hann vinnur með fyrir hönd ábyrgðaraðila. Ráðstafanirnar skulu taka mið af nýjustu tækni, kostnað</w:t>
      </w:r>
      <w:r w:rsidR="00CD11BA">
        <w:t>i</w:t>
      </w:r>
      <w:r>
        <w:t xml:space="preserve"> við innleiðingu, umfangi, samhengi og tilgangi vinnslu og þeirri áhættu sem hún hefur í för með sér. </w:t>
      </w:r>
    </w:p>
    <w:p w14:paraId="26401AB1" w14:textId="708EEAF5" w:rsidR="005D6140" w:rsidRDefault="005D6140" w:rsidP="005D6140">
      <w:pPr>
        <w:pStyle w:val="Fyrirsgn2"/>
      </w:pPr>
      <w:r>
        <w:t xml:space="preserve">Í því skyni að tryggja viðeigandi tæknilegar ráðstafanir, sbr. grein </w:t>
      </w:r>
      <w:r w:rsidR="00CD11BA">
        <w:t>5</w:t>
      </w:r>
      <w:r>
        <w:t xml:space="preserve">.1 skal vinnsluaðili, eftir því sem við á a) nota gerviauðkenni og </w:t>
      </w:r>
      <w:proofErr w:type="spellStart"/>
      <w:r>
        <w:t>dulkóðun</w:t>
      </w:r>
      <w:proofErr w:type="spellEnd"/>
      <w:r>
        <w:t xml:space="preserve"> upplýsinga; b) geta tryggt viðvarandi trúnað, samfellu, tiltækileika og álagsþol vinnslukerfa- og þjónustu; c) geta endurheimt tímanlega tiltækileika og aðgang að </w:t>
      </w:r>
      <w:r>
        <w:lastRenderedPageBreak/>
        <w:t xml:space="preserve">persónuupplýsingum ef til efnislegs eða tæknilegs atviks kemur; og d) taka upp ferli til að prófa og meta reglulega skilvirkni tæknilegra og </w:t>
      </w:r>
      <w:proofErr w:type="spellStart"/>
      <w:r>
        <w:t>skipulagslegra</w:t>
      </w:r>
      <w:proofErr w:type="spellEnd"/>
      <w:r>
        <w:t xml:space="preserve"> ráðstafana til að tryggja öryggi vinnslunnar. </w:t>
      </w:r>
    </w:p>
    <w:p w14:paraId="044CC182" w14:textId="77777777" w:rsidR="005D6140" w:rsidRDefault="005D6140" w:rsidP="005D6140">
      <w:pPr>
        <w:pStyle w:val="Fyrirsgn2"/>
      </w:pPr>
      <w:r>
        <w:t xml:space="preserve">Vinnsluaðili ber ábyrgð á að þær tæknilegu og skipulagslegu ráðstafanir sem gripið er til hverju sinni, séu viðeigandi og fullnægjandi. Nánar er fjallað um þær lágmarks ráðstafanir sem vinnsluaðila er skylt að fara eftir í viðauka 1 við samning þennan. </w:t>
      </w:r>
    </w:p>
    <w:p w14:paraId="0FA85D77" w14:textId="77777777" w:rsidR="005D6140" w:rsidRDefault="005D6140" w:rsidP="005D6140">
      <w:pPr>
        <w:pStyle w:val="Fyrirsgn2"/>
      </w:pPr>
      <w:r>
        <w:t>Þegar viðunandi öryggi er metið skal einkum hafa hliðsjón af þeirri áhættu sem vinnslan hefur í för með sér, einkum að því er varðar óviljandi eða ólögmæta eyðingu persónuupplýsinga, sem eru sendar, geymdar eða unnar á annan hátt, eða að þær glatist, breytist, verði birtar eða veittur aðgangur að þeim í leyfisleysi.</w:t>
      </w:r>
    </w:p>
    <w:p w14:paraId="49164B69" w14:textId="77777777" w:rsidR="005D6140" w:rsidRDefault="005D6140" w:rsidP="005D6140">
      <w:pPr>
        <w:pStyle w:val="Fyrirsgn2"/>
      </w:pPr>
      <w:bookmarkStart w:id="4" w:name="_Ref508366521"/>
      <w:bookmarkStart w:id="5" w:name="_Ref508371658"/>
      <w:r>
        <w:t xml:space="preserve">Verði vinnsluaðili var við öryggisbrot við meðferð persónuupplýsinga fyrir hönd ábyrgðaraðila skal hann án ótilhlýðilegrar tafar, tilkynna ábyrgðaraðila um slíkt brot. Í slíkri tilkynningu skal vinnsluaðili lýsa eðli brotsins, þ. á m. þeim flokkum og áætluðum fjölda skráðra einstaklinga sem það varðar og flokkum og áætluðum fjölda skráninga persónuupplýsinga sem um ræðir. Þá skal vinnsluaðili lýsa líklegum afleiðingum brotsins og þeim ráðstöfunum sem hann hefur gert eða </w:t>
      </w:r>
      <w:proofErr w:type="spellStart"/>
      <w:r>
        <w:t>fyrirhugar</w:t>
      </w:r>
      <w:proofErr w:type="spellEnd"/>
      <w:r>
        <w:t xml:space="preserve"> að gera vegna öryggisbrotsins.</w:t>
      </w:r>
      <w:bookmarkEnd w:id="4"/>
      <w:r>
        <w:t xml:space="preserve"> Vinnsluaðili skal ekki upplýsa þriðja aðila um öryggisbrot án skriflegs samþykkis ábyrgðaraðila, nema slíkt sé skylt á grundvelli </w:t>
      </w:r>
      <w:proofErr w:type="spellStart"/>
      <w:r>
        <w:t>ófrávíkjanlegra</w:t>
      </w:r>
      <w:proofErr w:type="spellEnd"/>
      <w:r>
        <w:t xml:space="preserve"> laga.</w:t>
      </w:r>
      <w:bookmarkEnd w:id="5"/>
    </w:p>
    <w:p w14:paraId="7757E949" w14:textId="11B29CB9" w:rsidR="005D6140" w:rsidRDefault="005D6140" w:rsidP="005D6140">
      <w:pPr>
        <w:pStyle w:val="Fyrirsgn2"/>
      </w:pPr>
      <w:r>
        <w:t>Vinnsluaðili skal grípa til nauðsynlegra ráðstafana til að draga úr áhættu og skaðlegum áhrifum af öryggisbrotum.</w:t>
      </w:r>
    </w:p>
    <w:p w14:paraId="029D962D" w14:textId="77777777" w:rsidR="005D6140" w:rsidRDefault="005D6140" w:rsidP="005D6140">
      <w:pPr>
        <w:pStyle w:val="Fyrirsgn2"/>
      </w:pPr>
      <w:r>
        <w:t xml:space="preserve">Ákveði ábyrgðaraðili að framkvæma áhættumat í tengslum við tiltekna vinnslu skal vinnsluaðili aðstoða ábyrgðaraðila við slíkt mat í samræmi við ákvæði persónuverndarlaga. </w:t>
      </w:r>
    </w:p>
    <w:p w14:paraId="7296EB2D" w14:textId="77777777" w:rsidR="005D6140" w:rsidRDefault="005D6140" w:rsidP="005D6140">
      <w:pPr>
        <w:pStyle w:val="Fyrirsgn2"/>
      </w:pPr>
      <w:r>
        <w:t xml:space="preserve">Vinnsluaðila er alfarið óheimilt að flytja persónuupplýsingar utan Evrópska efnahagssvæðisins nema á grundvelli skriflegra fyrirmæla ábyrgðaraðila þar um. </w:t>
      </w:r>
    </w:p>
    <w:p w14:paraId="22C90B59" w14:textId="77777777" w:rsidR="005D6140" w:rsidRDefault="005D6140" w:rsidP="005D6140">
      <w:pPr>
        <w:pStyle w:val="Fyrirsgn1"/>
      </w:pPr>
      <w:r>
        <w:t>INNRA EFTIRLIT</w:t>
      </w:r>
    </w:p>
    <w:p w14:paraId="15C51267" w14:textId="77777777" w:rsidR="005D6140" w:rsidRDefault="005D6140" w:rsidP="005D6140">
      <w:pPr>
        <w:pStyle w:val="Fyrirsgn2"/>
      </w:pPr>
      <w:r>
        <w:t xml:space="preserve">Vinnsluaðili skal viðhafa innra eftirlit með vinnslu persónuupplýsinga til að ganga úr skugga um að unnið sé í samræmi við gildandi lög og reglur og þær öryggisráðstafanir sem ákveðnar hafa verið í samningi þessum. </w:t>
      </w:r>
    </w:p>
    <w:p w14:paraId="445FAE51" w14:textId="77777777" w:rsidR="005D6140" w:rsidRDefault="005D6140" w:rsidP="005D6140">
      <w:pPr>
        <w:pStyle w:val="Fyrirsgn2"/>
      </w:pPr>
      <w:r>
        <w:t xml:space="preserve">Innra eftirlit skal viðhaft með reglubundnum hætti. Tíðni eftirlitsins og umfang þess skal ákveðið með hliðsjón af áhættunni sem er samfara vinnslunni, eðli þeirra gagna sem unnið er með, þeirri tækni sem notuð er til að tryggja öryggi upplýsinganna og kostnaði af framkvæmd eftirlitsins. Eftirlitið skal þó ekki fara fram sjaldnar en árlega. </w:t>
      </w:r>
    </w:p>
    <w:p w14:paraId="25AF3C68" w14:textId="77777777" w:rsidR="005D6140" w:rsidRPr="003D6783" w:rsidRDefault="005D6140" w:rsidP="005D6140">
      <w:pPr>
        <w:pStyle w:val="Fyrirsgn2"/>
      </w:pPr>
      <w:r>
        <w:t>Vinnsluaðili skal gera skýrslu um framkvæmd innra eftirlits. Í slíkri skýrslu skal lýsa niðurstöðu hvers þáttar eftirlitsins. Skýrslurnar ber að varðveita tryggilega. Ábyrgðaraðili hefur rétt á að fá afrit af slíkri skýrslu, óski hann þess.</w:t>
      </w:r>
    </w:p>
    <w:p w14:paraId="4EAD3999" w14:textId="77777777" w:rsidR="005D6140" w:rsidRDefault="005D6140" w:rsidP="005D6140">
      <w:pPr>
        <w:pStyle w:val="Fyrirsgn1"/>
      </w:pPr>
      <w:r>
        <w:t>UNDIRVINNSLUAÐILAR</w:t>
      </w:r>
    </w:p>
    <w:p w14:paraId="796A61C3" w14:textId="4F54CB5E" w:rsidR="002E5481" w:rsidRDefault="005D6140" w:rsidP="002E5481">
      <w:pPr>
        <w:pStyle w:val="Fyrirsgn2"/>
      </w:pPr>
      <w:r>
        <w:t xml:space="preserve">Vinnsluaðila er heimilt að fela </w:t>
      </w:r>
      <w:r w:rsidR="002E5481">
        <w:t xml:space="preserve">undirvinnsluaðilum, sem tilgreindir eru í viðauka 1 </w:t>
      </w:r>
      <w:r w:rsidR="006A3405">
        <w:t>við samning þennan</w:t>
      </w:r>
      <w:r w:rsidR="002E5481">
        <w:t xml:space="preserve">, að vinna persónuupplýsingar fyrir hönd ábyrgðaraðila. </w:t>
      </w:r>
      <w:r>
        <w:t xml:space="preserve">  </w:t>
      </w:r>
    </w:p>
    <w:p w14:paraId="2D9D0B79" w14:textId="49C2426C" w:rsidR="002E5481" w:rsidRPr="002E5481" w:rsidRDefault="002E5481" w:rsidP="002E5481">
      <w:pPr>
        <w:pStyle w:val="Fyrirsgn2"/>
      </w:pPr>
      <w:r>
        <w:lastRenderedPageBreak/>
        <w:t xml:space="preserve">Vinnsluaðila er heimilt að semja við aðra undirvinnsluaðila um að annast tiltekna vinnslu fyrir hönd ábyrgðaraðila. </w:t>
      </w:r>
      <w:r w:rsidR="00B2596C">
        <w:t>V</w:t>
      </w:r>
      <w:r w:rsidR="008D3751">
        <w:t>innsluaðili</w:t>
      </w:r>
      <w:r w:rsidR="00B2596C">
        <w:t xml:space="preserve"> skal</w:t>
      </w:r>
      <w:r w:rsidR="008D3751">
        <w:t xml:space="preserve"> upplýsa ábyrgðaraðila um allar fyrirhugaðar breytingar, bæði þegar bætt er við undirvinnsluaðilum eða ef breytingar verða á þegar samþykktum undirvinnsluaðilum, með skriflegum hætti. Ábyrgðaraðili hefur 1</w:t>
      </w:r>
      <w:r w:rsidR="00282B06">
        <w:t>4</w:t>
      </w:r>
      <w:r w:rsidR="008D3751">
        <w:t xml:space="preserve"> daga frá móttöku tilkynningar til að mótmæla breytingunni. Berist engin andmæli innan tímamarka </w:t>
      </w:r>
      <w:r w:rsidR="00552DF9">
        <w:t xml:space="preserve">telst ábyrgðaraðili hafa samþykkt breytinguna. </w:t>
      </w:r>
    </w:p>
    <w:p w14:paraId="761094AA" w14:textId="77777777" w:rsidR="005D6140" w:rsidRDefault="005D6140" w:rsidP="005D6140">
      <w:pPr>
        <w:pStyle w:val="Fyrirsgn2"/>
      </w:pPr>
      <w:r>
        <w:t>Ráði vinnsluaðili annan vinnsluaðila, á grundvelli heimildar frá ábyrgðaraðila, til að inna af hendi tiltekna vinnslustarfsemi skal vinnsluaðili tryggja að sömu skyldur hvíli á undirvinnsluaðila og hvíla á vinnsluaðila á grundvelli þessa vinnslusamnings, persónuverndarlaga og öðrum viðeigandi reglum um persónuvernd. Ábyrgðaraðili skal ávallt eiga rétt á að fá afrit af samningi vinnsluaðila og undirvinnsluaðila, óski hann eftir því.</w:t>
      </w:r>
    </w:p>
    <w:p w14:paraId="7524283A" w14:textId="77777777" w:rsidR="005D6140" w:rsidRDefault="005D6140" w:rsidP="005D6140">
      <w:pPr>
        <w:pStyle w:val="Fyrirsgn2"/>
      </w:pPr>
      <w:r>
        <w:t xml:space="preserve">Vinnsluaðili skal ávallt bera ábyrgð gagnvart ábyrgðaraðila á grundvelli þessa vinnslusamnings, jafnvel þó svo að undirvinnsluaðila sé fengin ákveðin vinnsla. </w:t>
      </w:r>
    </w:p>
    <w:p w14:paraId="07283D9F" w14:textId="77777777" w:rsidR="005D6140" w:rsidRDefault="005D6140" w:rsidP="005D6140">
      <w:pPr>
        <w:pStyle w:val="Fyrirsgn1"/>
      </w:pPr>
      <w:r>
        <w:t>BEIÐNIR HINNA SKRÁÐU OG ÞRIÐJU AÐILA</w:t>
      </w:r>
    </w:p>
    <w:p w14:paraId="2DD0BCAD" w14:textId="77777777" w:rsidR="005D6140" w:rsidRPr="00631757" w:rsidRDefault="005D6140" w:rsidP="005D6140">
      <w:pPr>
        <w:pStyle w:val="Fyrirsgn2"/>
        <w:rPr>
          <w:u w:val="single"/>
        </w:rPr>
      </w:pPr>
      <w:r>
        <w:t>Vinnsluaðili skal aðstoða ábyrgðaraðila með viðeigandi tæknilegum og skipulagslegum ráðstöfunum, að því marki sem hægt er, við að bregðast við beiðnum frá hinum skráðu á grundvelli réttinda sem þeim eru tryggð í persónuverndarlögum og öðrum viðeigandi reglum um persónuvernd, þ.m.t. hvað varða rétt hinna skráðu til aðgangs að upplýsingum um vinnslu, til leiðréttingar eða eyðingar rangra upplýsinga, til að mótmæla vinnslu, til að takmarka vinnslu, til að láta eyða upplýsingum um sig og eftir atvikum til gagnaflutninga. Sama skal eiga við um hvers kyns fyrirspurnir og beiðnir frá eftirlitsstjórnvöldum.</w:t>
      </w:r>
    </w:p>
    <w:p w14:paraId="3BE3105D" w14:textId="77777777" w:rsidR="005D6140" w:rsidRPr="00DD46F5" w:rsidRDefault="005D6140" w:rsidP="005D6140">
      <w:pPr>
        <w:pStyle w:val="Fyrirsgn2"/>
        <w:rPr>
          <w:u w:val="single"/>
        </w:rPr>
      </w:pPr>
      <w:r>
        <w:t xml:space="preserve">Berist vinnsluaðila beiðni frá hinum skráðu skal vinnsluaðili áframsenda slíka beiðni til ábyrgðaraðila. </w:t>
      </w:r>
    </w:p>
    <w:p w14:paraId="10F79F9F" w14:textId="77777777" w:rsidR="005D6140" w:rsidRPr="00DD46F5" w:rsidRDefault="005D6140" w:rsidP="005D6140">
      <w:pPr>
        <w:pStyle w:val="Fyrirsgn2"/>
        <w:rPr>
          <w:u w:val="single"/>
        </w:rPr>
      </w:pPr>
      <w:r>
        <w:t>Vinnsluaðila er óheimilt að veita hinum skráðu upplýsingar um vinnsluna án leyfis ábyrgðaraðila.</w:t>
      </w:r>
    </w:p>
    <w:p w14:paraId="06B35674" w14:textId="77777777" w:rsidR="005D6140" w:rsidRPr="005F24BB" w:rsidRDefault="005D6140" w:rsidP="005D6140">
      <w:pPr>
        <w:pStyle w:val="Fyrirsgn2"/>
        <w:rPr>
          <w:u w:val="single"/>
        </w:rPr>
      </w:pPr>
      <w:r>
        <w:t xml:space="preserve">Óski stjórnvöld, eða aðrir opinberir aðilar, eftir aðgangi að upplýsingum frá vinnsluaðila er honum alfarið óheimilt að afhenda slíkar upplýsingar án fyrirmæla ábyrgðaraðila, nema </w:t>
      </w:r>
      <w:proofErr w:type="spellStart"/>
      <w:r>
        <w:t>ófrávíkjanleg</w:t>
      </w:r>
      <w:proofErr w:type="spellEnd"/>
      <w:r>
        <w:t xml:space="preserve"> lög eða dómsúrskurður kveði á um annað. </w:t>
      </w:r>
    </w:p>
    <w:p w14:paraId="290862C1" w14:textId="77777777" w:rsidR="005D6140" w:rsidRDefault="005D6140" w:rsidP="005D6140">
      <w:pPr>
        <w:pStyle w:val="Fyrirsgn1"/>
      </w:pPr>
      <w:bookmarkStart w:id="6" w:name="_Ref486343411"/>
      <w:r>
        <w:t>GILDISTÍMI</w:t>
      </w:r>
    </w:p>
    <w:p w14:paraId="41C14BF2" w14:textId="78CEAF39" w:rsidR="005D6140" w:rsidRDefault="005D6140" w:rsidP="005D6140">
      <w:pPr>
        <w:pStyle w:val="Fyrirsgn2"/>
      </w:pPr>
      <w:r>
        <w:t xml:space="preserve">Vinnslusamningur þessi skal vera í gildi þar til þjónustusamningurinn fellur úr gildi, nema samningi þessum sé sagt upp fyrr í samræmi við ákvæði </w:t>
      </w:r>
      <w:r w:rsidR="006D1DC1">
        <w:t>9</w:t>
      </w:r>
      <w:r>
        <w:t>.2.</w:t>
      </w:r>
    </w:p>
    <w:p w14:paraId="2F8B67D8" w14:textId="77777777" w:rsidR="005D6140" w:rsidRDefault="005D6140" w:rsidP="005D6140">
      <w:pPr>
        <w:pStyle w:val="Fyrirsgn2"/>
      </w:pPr>
      <w:r>
        <w:t>Brjóti vinnsluaðili gegn samningi þessum eða lögum og reglum á sviði persónuverndar, eða samningssamband aðila breytist með þeim hætti að vinnsluaðili hættir allri vinnslu persónuupplýsinga fyrir hönd ábyrgðaraðila, er ábyrgðaraðila heimilt að segja upp samningi þessum með skriflegri tilkynningu þar um til vinnsluaðila.</w:t>
      </w:r>
    </w:p>
    <w:p w14:paraId="121B96A6" w14:textId="77777777" w:rsidR="005D6140" w:rsidRDefault="005D6140" w:rsidP="005D6140">
      <w:pPr>
        <w:pStyle w:val="Fyrirsgn1"/>
      </w:pPr>
      <w:r>
        <w:t>EYÐING PERSÓNUUPPLÝSINGA</w:t>
      </w:r>
      <w:bookmarkEnd w:id="6"/>
    </w:p>
    <w:p w14:paraId="476F153A" w14:textId="77777777" w:rsidR="005D6140" w:rsidRDefault="00A23152" w:rsidP="005D6140">
      <w:pPr>
        <w:pStyle w:val="Fyrirsgn2"/>
      </w:pPr>
      <w:r>
        <w:lastRenderedPageBreak/>
        <w:t xml:space="preserve">Ábyrgðaraðili </w:t>
      </w:r>
      <w:r w:rsidR="005D6140">
        <w:t xml:space="preserve">skal í samráði við </w:t>
      </w:r>
      <w:r>
        <w:t>vinnsluaðila</w:t>
      </w:r>
      <w:r w:rsidR="005D6140">
        <w:t xml:space="preserve"> eyða persónuupplýsingum þegar þær eru ekki lengur nauðsynlegar í þeim tilgangi sem þeirra var aflað, nema kveðið sé á um annað í lögum. </w:t>
      </w:r>
    </w:p>
    <w:p w14:paraId="0B8E3162" w14:textId="77777777" w:rsidR="005D6140" w:rsidRDefault="005D6140" w:rsidP="005D6140">
      <w:pPr>
        <w:pStyle w:val="Fyrirsgn2"/>
      </w:pPr>
      <w:r>
        <w:t xml:space="preserve">Ábyrgðaraðili getur hvenær sem er á samningstímanum gefið vinnsluaðila fyrirmæli um að eyða eða skila persónuupplýsingum til ábyrgðaraðila. Vinnsluaðili skal bregðast við slíkum fyrirmælum svo fljótt sem verða má. </w:t>
      </w:r>
    </w:p>
    <w:p w14:paraId="690931E0" w14:textId="746685B2" w:rsidR="005D6140" w:rsidRDefault="005D6140" w:rsidP="005D6140">
      <w:pPr>
        <w:pStyle w:val="Fyrirsgn2"/>
      </w:pPr>
      <w:r>
        <w:t xml:space="preserve">Þegar vinnslusamningur þessi líður undir lok, sbr. kafli </w:t>
      </w:r>
      <w:r w:rsidR="001F5E5D">
        <w:t>9</w:t>
      </w:r>
      <w:r>
        <w:t xml:space="preserve">, skal vinnsluaðili eyða eða skila til ábyrgðaraðila, að vali ábyrgðaraðila, öllum persónuupplýsingum sem hann hefur undir höndum eða aðgang að. Einnig skal eyða öllum afritum af upplýsingum nema að mælt sé fyrir um annað í lögum, en vinnsluaðili skal þá tilkynna ábyrgðaraðila um slíka skyldu. </w:t>
      </w:r>
    </w:p>
    <w:p w14:paraId="300FFDF4" w14:textId="2D1E87EF" w:rsidR="005D6140" w:rsidRDefault="005D6140" w:rsidP="00516279">
      <w:pPr>
        <w:pStyle w:val="Fyrirsgn1"/>
      </w:pPr>
      <w:r>
        <w:t xml:space="preserve">SKAÐLEYSI OG KOSTNAÐUR </w:t>
      </w:r>
    </w:p>
    <w:p w14:paraId="708E50DB" w14:textId="77777777" w:rsidR="005D6140" w:rsidRDefault="005D6140" w:rsidP="005D6140">
      <w:pPr>
        <w:pStyle w:val="Fyrirsgn2"/>
      </w:pPr>
      <w:bookmarkStart w:id="7" w:name="_Hlk508812873"/>
      <w:r>
        <w:t xml:space="preserve">Ábyrgðaraðli ábyrgist að halda vinnsluaðila skaðlausum vegna tjóns sem vinnsluaðili kann að verða fyrir vegna fyrirmæla ábyrgðaraðila, sem ekki eru í samræmi við persónuverndarlög. </w:t>
      </w:r>
    </w:p>
    <w:bookmarkEnd w:id="7"/>
    <w:p w14:paraId="1EC0CBE2" w14:textId="77777777" w:rsidR="005D6140" w:rsidRDefault="005D6140" w:rsidP="005D6140">
      <w:pPr>
        <w:pStyle w:val="Fyrirsgn2"/>
      </w:pPr>
      <w:r>
        <w:t>Ábyrgðaraðili skal halda vinnsluaðila skaðlausum vegna alls kostnaðar sem leiðir af aðstoð vinnsluaðila við ábyrgðaraðila á grundvelli samnings þessa. Ef öryggisbrot má rekja til fyrirmæla, gáleysis eða ásetnings brots ábyrgðaraðila á vinnslusamningnum skal ábyrgðaraðili einnig halda vinnsluaðila skaðlausum.</w:t>
      </w:r>
    </w:p>
    <w:p w14:paraId="655A6D59" w14:textId="77777777" w:rsidR="005D6140" w:rsidRDefault="005D6140" w:rsidP="005D6140">
      <w:pPr>
        <w:pStyle w:val="Fyrirsgn1"/>
      </w:pPr>
      <w:r>
        <w:t xml:space="preserve">ÚTTEKTIR OG AÐGANGUR AÐ UPPLÝSINGUM UM VINNSLU </w:t>
      </w:r>
    </w:p>
    <w:p w14:paraId="5921DDC6" w14:textId="77777777" w:rsidR="005D6140" w:rsidRDefault="005D6140" w:rsidP="005D6140">
      <w:pPr>
        <w:pStyle w:val="Fyrirsgn2"/>
      </w:pPr>
      <w:r>
        <w:t xml:space="preserve">Vinnsluaðili skal veita ábyrgðaraðila aðgang að öllum upplýsingum sem eru nauðsynlegar til þess að sýna fram á að skyldum samkvæmt persónuverndarlögum eða vinnslusamningi þessum hafi verið fylgt, þ. á m. aðgang að vinnsluskrá vinnsluaðila vegna vinnslu á grundvelli samnings þessa. </w:t>
      </w:r>
    </w:p>
    <w:p w14:paraId="0345EB18" w14:textId="77777777" w:rsidR="005D6140" w:rsidRDefault="005D6140" w:rsidP="005D6140">
      <w:pPr>
        <w:pStyle w:val="Fyrirsgn2"/>
      </w:pPr>
      <w:r>
        <w:t xml:space="preserve">Vinnsluaðili skal gefa ábyrgðaraðila kost á að framkvæma, eða fela þriðja aðila að framkvæma fyrir sína hönd, úttektir á vinnslu vinnsluaðila á persónuupplýsingum og veita ábyrgðaraðila tilhlýðilega aðstoð við slíkar úttektir. Ábyrgðaraðili skal tilkynna vinnsluaðila um slíkar úttektir með a.m.k. 30 daga fyrirvara. Tilgangur slíkra úttekta er að ganga úr skugga um að vinnsluaðili framfylgi skyldum sínum samkvæmt vinnslusamningi þessum, þ. á m. hvað varðar innra eftirlit, öryggi og skyldur á grundvelli persónuverndarlaga.  </w:t>
      </w:r>
    </w:p>
    <w:p w14:paraId="2C58BC5B" w14:textId="77777777" w:rsidR="005D6140" w:rsidRDefault="005D6140" w:rsidP="005D6140">
      <w:pPr>
        <w:pStyle w:val="Fyrirsgn1"/>
      </w:pPr>
      <w:r>
        <w:t>TENGILIÐIR</w:t>
      </w:r>
    </w:p>
    <w:p w14:paraId="633EB139" w14:textId="77777777" w:rsidR="005D6140" w:rsidRDefault="005D6140" w:rsidP="005D6140">
      <w:pPr>
        <w:pStyle w:val="Fyrirsgn2"/>
      </w:pPr>
      <w:r>
        <w:t xml:space="preserve">Tilkynningar sem aðilar þurfa að beina til hvors annars samkvæmt samningi þessum, skulu vera skriflegar. Skal hvor aðili um sig tilnefna tengilið, sem beina má slíkum orðsendingum til með pósti eða tölvupósti. </w:t>
      </w:r>
    </w:p>
    <w:p w14:paraId="7721B118" w14:textId="77777777" w:rsidR="005D6140" w:rsidRPr="00EA3D46" w:rsidRDefault="005D6140" w:rsidP="005D6140">
      <w:pPr>
        <w:pStyle w:val="Fyrirsgn2"/>
      </w:pPr>
      <w:r>
        <w:t xml:space="preserve">Tilkynningar til ábyrgðaraðila skulu berast </w:t>
      </w:r>
      <w:r w:rsidRPr="00EA3D46">
        <w:rPr>
          <w:i/>
        </w:rPr>
        <w:t>[</w:t>
      </w:r>
      <w:r>
        <w:rPr>
          <w:i/>
        </w:rPr>
        <w:t>f</w:t>
      </w:r>
      <w:r w:rsidRPr="00EA3D46">
        <w:rPr>
          <w:i/>
        </w:rPr>
        <w:t>ullt nafn], [</w:t>
      </w:r>
      <w:r>
        <w:rPr>
          <w:i/>
        </w:rPr>
        <w:t>n</w:t>
      </w:r>
      <w:r w:rsidRPr="00EA3D46">
        <w:rPr>
          <w:i/>
        </w:rPr>
        <w:t>etfang].</w:t>
      </w:r>
    </w:p>
    <w:p w14:paraId="6293DA4E" w14:textId="77777777" w:rsidR="005D6140" w:rsidRDefault="005D6140" w:rsidP="005D6140">
      <w:pPr>
        <w:pStyle w:val="Fyrirsgn2"/>
      </w:pPr>
      <w:r>
        <w:t xml:space="preserve">Tilkynningar til vinnsluaðila skulu berast </w:t>
      </w:r>
      <w:r w:rsidRPr="00EA3D46">
        <w:rPr>
          <w:i/>
        </w:rPr>
        <w:t>[</w:t>
      </w:r>
      <w:r>
        <w:rPr>
          <w:i/>
        </w:rPr>
        <w:t>f</w:t>
      </w:r>
      <w:r w:rsidRPr="00EA3D46">
        <w:rPr>
          <w:i/>
        </w:rPr>
        <w:t>ullt nafn], [</w:t>
      </w:r>
      <w:r>
        <w:rPr>
          <w:i/>
        </w:rPr>
        <w:t>n</w:t>
      </w:r>
      <w:r w:rsidRPr="00EA3D46">
        <w:rPr>
          <w:i/>
        </w:rPr>
        <w:t>etfang].</w:t>
      </w:r>
    </w:p>
    <w:p w14:paraId="5D2AD473" w14:textId="77777777" w:rsidR="005D6140" w:rsidRPr="00474419" w:rsidRDefault="005D6140" w:rsidP="005D6140">
      <w:pPr>
        <w:pStyle w:val="Fyrirsgn1"/>
      </w:pPr>
      <w:r w:rsidRPr="00474419">
        <w:t>ÖNNUR ATR</w:t>
      </w:r>
      <w:r>
        <w:t>I</w:t>
      </w:r>
      <w:r w:rsidRPr="00474419">
        <w:t>ÐI</w:t>
      </w:r>
    </w:p>
    <w:p w14:paraId="4F25321E" w14:textId="77777777" w:rsidR="005D6140" w:rsidRDefault="005D6140" w:rsidP="005D6140">
      <w:pPr>
        <w:pStyle w:val="Fyrirsgn2"/>
      </w:pPr>
      <w:r>
        <w:lastRenderedPageBreak/>
        <w:t xml:space="preserve">Vinnslusamningur þessi skal ganga framar þjónustusamningnum hvað varðar vinnslu vinnsluaðila á persónuupplýsingum fyrir hönd ábyrgðaraðila og tengdar skyldur. Að öðru leyti skulu ákvæði þjónustusamningsins hins vegar standa óbreytt. </w:t>
      </w:r>
    </w:p>
    <w:p w14:paraId="513A1B18" w14:textId="77777777" w:rsidR="00BA0EE8" w:rsidRDefault="00BA0EE8" w:rsidP="00BA0EE8">
      <w:pPr>
        <w:pStyle w:val="Fyrirsgn2"/>
      </w:pPr>
      <w:r>
        <w:t xml:space="preserve">Viðaukar við vinnslusamning þennan er hluti samningsins. </w:t>
      </w:r>
    </w:p>
    <w:p w14:paraId="610089C7" w14:textId="3741AB74" w:rsidR="005D6140" w:rsidRDefault="003A17D5" w:rsidP="00BA0EE8">
      <w:pPr>
        <w:pStyle w:val="Fyrirsgn2"/>
      </w:pPr>
      <w:r>
        <w:t>Um vinnslusamning þennan gilda íslensk lög og rísi ágreiningur meðal aðila skal</w:t>
      </w:r>
      <w:r w:rsidR="00144BDA">
        <w:t xml:space="preserve"> hann borinn undir Héraðsdóm Reykjavíkur</w:t>
      </w:r>
      <w:r w:rsidR="005D6140">
        <w:t xml:space="preserve">. </w:t>
      </w:r>
    </w:p>
    <w:p w14:paraId="6CB2922C" w14:textId="77777777" w:rsidR="005D6140" w:rsidRDefault="005D6140" w:rsidP="005D6140">
      <w:pPr>
        <w:pStyle w:val="Fyrirsgn2"/>
      </w:pPr>
      <w:r>
        <w:t xml:space="preserve">Með undirritun vinnslusamnings þessa staðfestir vinnsluaðili að hann hafi getu og hæfni til að fullnægja þeim skyldum sem efni þessa samnings kveður á um. </w:t>
      </w:r>
    </w:p>
    <w:p w14:paraId="199E9DFE" w14:textId="38AC8F8E" w:rsidR="005D6140" w:rsidRDefault="005D6140" w:rsidP="005D6140">
      <w:pPr>
        <w:pStyle w:val="Fyrirsgn2"/>
      </w:pPr>
      <w:r>
        <w:t>Vinnslusamningur þessi er gerður</w:t>
      </w:r>
      <w:r w:rsidR="009B4B4D">
        <w:t xml:space="preserve"> í</w:t>
      </w:r>
      <w:r>
        <w:t xml:space="preserve"> tveimur eintökum og heldur hvor aðili sínu eintaki. </w:t>
      </w:r>
    </w:p>
    <w:p w14:paraId="751FE46C" w14:textId="77777777" w:rsidR="005D6140" w:rsidRDefault="005D6140" w:rsidP="005D6140">
      <w:pPr>
        <w:spacing w:after="0"/>
      </w:pPr>
    </w:p>
    <w:p w14:paraId="638B0A8E" w14:textId="77777777" w:rsidR="005D6140" w:rsidRDefault="005D6140" w:rsidP="005D6140">
      <w:pPr>
        <w:spacing w:after="0"/>
      </w:pPr>
    </w:p>
    <w:p w14:paraId="6820C539" w14:textId="77777777" w:rsidR="005D6140" w:rsidRDefault="005D6140" w:rsidP="005D6140">
      <w:pPr>
        <w:spacing w:after="0"/>
      </w:pPr>
    </w:p>
    <w:p w14:paraId="4C3AFB2A" w14:textId="77777777" w:rsidR="005D6140" w:rsidRDefault="005D6140" w:rsidP="005D6140">
      <w:pPr>
        <w:spacing w:after="0"/>
        <w:jc w:val="center"/>
      </w:pPr>
      <w:r>
        <w:t>Reykjavík, [●]</w:t>
      </w:r>
    </w:p>
    <w:p w14:paraId="0DC263D6" w14:textId="77777777" w:rsidR="005D6140" w:rsidRDefault="005D6140" w:rsidP="005D6140">
      <w:pPr>
        <w:spacing w:after="0"/>
        <w:jc w:val="center"/>
      </w:pPr>
    </w:p>
    <w:p w14:paraId="757CB998" w14:textId="77777777" w:rsidR="005D6140" w:rsidRDefault="005D6140" w:rsidP="005D6140">
      <w:pPr>
        <w:spacing w:after="0"/>
      </w:pPr>
    </w:p>
    <w:tbl>
      <w:tblPr>
        <w:tblStyle w:val="Hnitanettfl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6140" w14:paraId="148284AD" w14:textId="77777777" w:rsidTr="00230B77">
        <w:tc>
          <w:tcPr>
            <w:tcW w:w="4531" w:type="dxa"/>
          </w:tcPr>
          <w:p w14:paraId="4CE8E68B" w14:textId="77777777" w:rsidR="005D6140" w:rsidRDefault="005D6140" w:rsidP="00230B77">
            <w:pPr>
              <w:jc w:val="center"/>
            </w:pPr>
            <w:r>
              <w:t>F.h. ábyrgðaraðila</w:t>
            </w:r>
          </w:p>
          <w:p w14:paraId="1DE132BF" w14:textId="77777777" w:rsidR="005D6140" w:rsidRDefault="005D6140" w:rsidP="00230B77">
            <w:pPr>
              <w:jc w:val="center"/>
            </w:pPr>
          </w:p>
          <w:p w14:paraId="63649177" w14:textId="77777777" w:rsidR="005D6140" w:rsidRDefault="005D6140" w:rsidP="00230B77">
            <w:pPr>
              <w:jc w:val="center"/>
            </w:pPr>
            <w:r>
              <w:t>___________________</w:t>
            </w:r>
          </w:p>
        </w:tc>
        <w:tc>
          <w:tcPr>
            <w:tcW w:w="4531" w:type="dxa"/>
          </w:tcPr>
          <w:p w14:paraId="242D7865" w14:textId="77777777" w:rsidR="005D6140" w:rsidRDefault="005D6140" w:rsidP="00230B77">
            <w:pPr>
              <w:jc w:val="center"/>
            </w:pPr>
            <w:r>
              <w:t>F.h. vinnsluaðila</w:t>
            </w:r>
          </w:p>
          <w:p w14:paraId="7F707F52" w14:textId="77777777" w:rsidR="005D6140" w:rsidRDefault="005D6140" w:rsidP="00230B77">
            <w:pPr>
              <w:jc w:val="center"/>
            </w:pPr>
          </w:p>
          <w:p w14:paraId="19D17BAE" w14:textId="77777777" w:rsidR="005D6140" w:rsidRDefault="005D6140" w:rsidP="00230B77">
            <w:pPr>
              <w:jc w:val="center"/>
            </w:pPr>
            <w:r>
              <w:t>______________________</w:t>
            </w:r>
          </w:p>
        </w:tc>
      </w:tr>
      <w:tr w:rsidR="005D6140" w14:paraId="7C59B0AA" w14:textId="77777777" w:rsidTr="00230B77">
        <w:tc>
          <w:tcPr>
            <w:tcW w:w="4531" w:type="dxa"/>
          </w:tcPr>
          <w:p w14:paraId="6E2898BE" w14:textId="77777777" w:rsidR="005D6140" w:rsidRDefault="005D6140" w:rsidP="00230B77">
            <w:pPr>
              <w:jc w:val="center"/>
            </w:pPr>
          </w:p>
        </w:tc>
        <w:tc>
          <w:tcPr>
            <w:tcW w:w="4531" w:type="dxa"/>
          </w:tcPr>
          <w:p w14:paraId="26789E32" w14:textId="77777777" w:rsidR="005D6140" w:rsidRDefault="005D6140" w:rsidP="00230B77"/>
        </w:tc>
      </w:tr>
      <w:bookmarkEnd w:id="0"/>
    </w:tbl>
    <w:p w14:paraId="17DB550F" w14:textId="77777777" w:rsidR="005D6140" w:rsidRDefault="005D6140" w:rsidP="005D6140">
      <w:pPr>
        <w:spacing w:after="0"/>
        <w:jc w:val="center"/>
      </w:pPr>
    </w:p>
    <w:p w14:paraId="545AD81F" w14:textId="77777777" w:rsidR="005D6140" w:rsidRDefault="005D6140" w:rsidP="005D6140">
      <w:pPr>
        <w:spacing w:after="160" w:line="259" w:lineRule="auto"/>
        <w:rPr>
          <w:b/>
        </w:rPr>
        <w:sectPr w:rsidR="005D6140" w:rsidSect="000C2E76">
          <w:footerReference w:type="default" r:id="rId7"/>
          <w:footerReference w:type="first" r:id="rId8"/>
          <w:pgSz w:w="11906" w:h="16838"/>
          <w:pgMar w:top="1418" w:right="1417" w:bottom="1418" w:left="1417" w:header="708" w:footer="708" w:gutter="0"/>
          <w:cols w:space="708"/>
          <w:titlePg/>
          <w:docGrid w:linePitch="360"/>
        </w:sectPr>
      </w:pPr>
    </w:p>
    <w:p w14:paraId="3C21F587" w14:textId="77777777" w:rsidR="005D6140" w:rsidRDefault="005D6140" w:rsidP="005D6140">
      <w:pPr>
        <w:spacing w:after="160" w:line="259" w:lineRule="auto"/>
        <w:rPr>
          <w:b/>
        </w:rPr>
      </w:pPr>
    </w:p>
    <w:p w14:paraId="7DD514D4" w14:textId="77777777" w:rsidR="005D6140" w:rsidRDefault="005D6140" w:rsidP="005D6140">
      <w:pPr>
        <w:spacing w:after="0"/>
        <w:jc w:val="center"/>
        <w:rPr>
          <w:b/>
        </w:rPr>
      </w:pPr>
      <w:r>
        <w:rPr>
          <w:b/>
        </w:rPr>
        <w:t>Viðauki 1</w:t>
      </w:r>
    </w:p>
    <w:p w14:paraId="728D1295" w14:textId="77777777" w:rsidR="005D6140" w:rsidRDefault="005D6140" w:rsidP="005D6140">
      <w:pPr>
        <w:spacing w:after="0"/>
        <w:jc w:val="center"/>
        <w:rPr>
          <w:b/>
        </w:rPr>
      </w:pPr>
    </w:p>
    <w:p w14:paraId="290ECADA" w14:textId="77777777" w:rsidR="005D6140" w:rsidRDefault="005D6140" w:rsidP="005D6140">
      <w:pPr>
        <w:spacing w:after="0"/>
        <w:jc w:val="center"/>
        <w:rPr>
          <w:b/>
        </w:rPr>
      </w:pPr>
      <w:r>
        <w:rPr>
          <w:b/>
        </w:rPr>
        <w:t>Lýsing á vinnslunni og þeim persónuupplýsingum sem unnið er með</w:t>
      </w:r>
    </w:p>
    <w:p w14:paraId="3788D640" w14:textId="77777777" w:rsidR="005D6140" w:rsidRDefault="005D6140" w:rsidP="005D6140">
      <w:pPr>
        <w:spacing w:after="0"/>
        <w:rPr>
          <w:b/>
        </w:rPr>
      </w:pPr>
    </w:p>
    <w:p w14:paraId="179032EA" w14:textId="77777777" w:rsidR="005D6140" w:rsidRDefault="005D6140" w:rsidP="005D6140">
      <w:pPr>
        <w:pStyle w:val="Fyrirsgn1"/>
        <w:numPr>
          <w:ilvl w:val="0"/>
          <w:numId w:val="3"/>
        </w:numPr>
        <w:ind w:left="576" w:hanging="576"/>
      </w:pPr>
      <w:r>
        <w:t>VERKEFNIÐ</w:t>
      </w:r>
    </w:p>
    <w:p w14:paraId="55FD995B" w14:textId="0BE6AF21" w:rsidR="005D6140" w:rsidRPr="00516279" w:rsidRDefault="003860DF" w:rsidP="00516279">
      <w:pPr>
        <w:pStyle w:val="Fyrirsgn2"/>
        <w:rPr>
          <w:i/>
        </w:rPr>
      </w:pPr>
      <w:r w:rsidRPr="00516279">
        <w:rPr>
          <w:i/>
        </w:rPr>
        <w:t xml:space="preserve">Vinnsluaðili </w:t>
      </w:r>
      <w:r w:rsidR="001532F4" w:rsidRPr="00516279">
        <w:rPr>
          <w:i/>
        </w:rPr>
        <w:t>rekur,</w:t>
      </w:r>
      <w:r w:rsidR="000D476F" w:rsidRPr="00516279">
        <w:rPr>
          <w:i/>
        </w:rPr>
        <w:t xml:space="preserve"> þjónustar,</w:t>
      </w:r>
      <w:r w:rsidR="001532F4" w:rsidRPr="00516279">
        <w:rPr>
          <w:i/>
        </w:rPr>
        <w:t xml:space="preserve"> þróar og hýsir vef- og samskiptakerfið </w:t>
      </w:r>
      <w:proofErr w:type="spellStart"/>
      <w:r w:rsidR="001532F4" w:rsidRPr="00516279">
        <w:rPr>
          <w:i/>
        </w:rPr>
        <w:t>Zenter</w:t>
      </w:r>
      <w:proofErr w:type="spellEnd"/>
      <w:r w:rsidR="001532F4" w:rsidRPr="00516279">
        <w:rPr>
          <w:i/>
        </w:rPr>
        <w:t xml:space="preserve">. </w:t>
      </w:r>
      <w:r w:rsidR="000814EF" w:rsidRPr="00516279">
        <w:rPr>
          <w:i/>
        </w:rPr>
        <w:t xml:space="preserve">Ábyrgðaraðili notar kerfið til </w:t>
      </w:r>
      <w:r w:rsidR="00182433" w:rsidRPr="00516279">
        <w:rPr>
          <w:i/>
        </w:rPr>
        <w:t xml:space="preserve">að halda utan um </w:t>
      </w:r>
      <w:r w:rsidR="00D0680A" w:rsidRPr="00516279">
        <w:rPr>
          <w:i/>
        </w:rPr>
        <w:t>upplýsingar</w:t>
      </w:r>
      <w:r w:rsidR="00904F2D" w:rsidRPr="00516279">
        <w:rPr>
          <w:i/>
        </w:rPr>
        <w:t>, greina markhópa</w:t>
      </w:r>
      <w:r w:rsidR="00D0680A" w:rsidRPr="00516279">
        <w:rPr>
          <w:i/>
        </w:rPr>
        <w:t xml:space="preserve"> </w:t>
      </w:r>
      <w:r w:rsidR="00182433" w:rsidRPr="00516279">
        <w:rPr>
          <w:i/>
        </w:rPr>
        <w:t>og eiga</w:t>
      </w:r>
      <w:r w:rsidR="0000415D" w:rsidRPr="00516279">
        <w:rPr>
          <w:i/>
        </w:rPr>
        <w:t xml:space="preserve"> í samskiptum</w:t>
      </w:r>
      <w:r w:rsidR="00F04EFD" w:rsidRPr="00516279">
        <w:rPr>
          <w:i/>
        </w:rPr>
        <w:t xml:space="preserve"> við hagsmunahópa. </w:t>
      </w:r>
    </w:p>
    <w:p w14:paraId="7CF11963" w14:textId="77777777" w:rsidR="005D6140" w:rsidRDefault="005D6140" w:rsidP="005D6140">
      <w:pPr>
        <w:pStyle w:val="Fyrirsgn1"/>
      </w:pPr>
      <w:r>
        <w:t>HINIR SKRÁÐU</w:t>
      </w:r>
    </w:p>
    <w:p w14:paraId="556DC5AD" w14:textId="39919E1A" w:rsidR="005D6140" w:rsidRDefault="005D6140" w:rsidP="00516279">
      <w:pPr>
        <w:pStyle w:val="Fyrirsgn2"/>
      </w:pPr>
      <w:r>
        <w:t>Vinnsluaðili vinnur persónuupplýsingar um eftirfarandi flokka skráðra aðila fyrir hönd ábyrgðaraðila:</w:t>
      </w:r>
    </w:p>
    <w:p w14:paraId="1FBF4CD4" w14:textId="226B2224" w:rsidR="00F8173A" w:rsidRDefault="00530E2B" w:rsidP="003367BC">
      <w:pPr>
        <w:ind w:firstLine="540"/>
        <w:rPr>
          <w:i/>
        </w:rPr>
      </w:pPr>
      <w:r>
        <w:rPr>
          <w:i/>
        </w:rPr>
        <w:t>Starfsmenn (   )   Viðskiptavini</w:t>
      </w:r>
      <w:r w:rsidR="008834E6">
        <w:rPr>
          <w:i/>
        </w:rPr>
        <w:t>r</w:t>
      </w:r>
      <w:r>
        <w:rPr>
          <w:i/>
        </w:rPr>
        <w:t xml:space="preserve"> (   )   </w:t>
      </w:r>
      <w:r w:rsidR="0032536C">
        <w:rPr>
          <w:i/>
        </w:rPr>
        <w:t>Tengiliðir viðskiptavina (   )</w:t>
      </w:r>
      <w:r w:rsidR="004862D0">
        <w:rPr>
          <w:i/>
        </w:rPr>
        <w:t xml:space="preserve">   </w:t>
      </w:r>
    </w:p>
    <w:p w14:paraId="70604EB4" w14:textId="77777777" w:rsidR="00F8173A" w:rsidRDefault="00205951" w:rsidP="003367BC">
      <w:pPr>
        <w:ind w:firstLine="540"/>
        <w:rPr>
          <w:i/>
        </w:rPr>
      </w:pPr>
      <w:r>
        <w:rPr>
          <w:i/>
        </w:rPr>
        <w:t xml:space="preserve">Mögulegir viðskiptavinir (   )   Tengiliðir mögulegra viðskiptavina (   ) </w:t>
      </w:r>
    </w:p>
    <w:p w14:paraId="0C332C00" w14:textId="2070724A" w:rsidR="006F36C8" w:rsidRDefault="006F36C8" w:rsidP="003367BC">
      <w:pPr>
        <w:ind w:firstLine="540"/>
        <w:rPr>
          <w:i/>
        </w:rPr>
      </w:pPr>
      <w:r>
        <w:rPr>
          <w:i/>
        </w:rPr>
        <w:t>Flokksmenn (    )</w:t>
      </w:r>
      <w:r w:rsidR="006B4472">
        <w:rPr>
          <w:i/>
        </w:rPr>
        <w:t xml:space="preserve">   Félagsmenn (   )</w:t>
      </w:r>
    </w:p>
    <w:p w14:paraId="6F45591C" w14:textId="3BEE21D9" w:rsidR="005D6140" w:rsidRPr="0069193C" w:rsidRDefault="006F36C8" w:rsidP="00297ADE">
      <w:pPr>
        <w:ind w:firstLine="540"/>
        <w:rPr>
          <w:i/>
        </w:rPr>
      </w:pPr>
      <w:r>
        <w:rPr>
          <w:i/>
        </w:rPr>
        <w:t>Aðrir:</w:t>
      </w:r>
    </w:p>
    <w:p w14:paraId="52786A27" w14:textId="77777777" w:rsidR="005D6140" w:rsidRDefault="005D6140" w:rsidP="005D6140">
      <w:pPr>
        <w:pStyle w:val="Fyrirsgn1"/>
      </w:pPr>
      <w:r>
        <w:t>FLOKKAR PERSÓNUUPPLÝSINGA</w:t>
      </w:r>
      <w:r>
        <w:tab/>
      </w:r>
    </w:p>
    <w:p w14:paraId="73C645C2" w14:textId="713B2051" w:rsidR="005D6140" w:rsidRDefault="005D6140" w:rsidP="00516279">
      <w:pPr>
        <w:pStyle w:val="Fyrirsgn2"/>
      </w:pPr>
      <w:r>
        <w:t>Vinnsluaðili vinnur eftirfarandi persónuupplýsingar fyrir hönd ábyrgðaraðila:</w:t>
      </w:r>
    </w:p>
    <w:p w14:paraId="468E826E" w14:textId="77777777" w:rsidR="00F7043F" w:rsidRDefault="00DA78A5" w:rsidP="005D6140">
      <w:pPr>
        <w:ind w:firstLine="567"/>
      </w:pPr>
      <w:r>
        <w:t>Nafn (   )</w:t>
      </w:r>
      <w:r w:rsidR="00E84A6D">
        <w:t xml:space="preserve">   Kennitala (   )   Heimilisfang (   )   </w:t>
      </w:r>
      <w:r w:rsidR="009161E6">
        <w:t>Netfang (   )   Símanúmer (   )</w:t>
      </w:r>
      <w:r w:rsidR="00F7043F">
        <w:t xml:space="preserve"> </w:t>
      </w:r>
    </w:p>
    <w:p w14:paraId="0B5501F0" w14:textId="77777777" w:rsidR="00306042" w:rsidRDefault="00C05E75" w:rsidP="005D6140">
      <w:pPr>
        <w:ind w:firstLine="567"/>
      </w:pPr>
      <w:r>
        <w:t>Vinnustaður (   )   Starfstitill (   )</w:t>
      </w:r>
      <w:r w:rsidR="00E47AAD">
        <w:t xml:space="preserve">   Vinnunetfang (   )   Vinnusími (   )</w:t>
      </w:r>
    </w:p>
    <w:p w14:paraId="6747020C" w14:textId="1ACA1D27" w:rsidR="004D5288" w:rsidRDefault="00174970" w:rsidP="005D6140">
      <w:pPr>
        <w:ind w:firstLine="567"/>
      </w:pPr>
      <w:r>
        <w:t>Samskipti (   )</w:t>
      </w:r>
      <w:r w:rsidR="0008096D">
        <w:t xml:space="preserve">   Niðurstöður (   )   </w:t>
      </w:r>
      <w:r w:rsidR="00306042">
        <w:t>Áhugamál (   )    Stjórnmálaskoðun (   )</w:t>
      </w:r>
    </w:p>
    <w:p w14:paraId="206AB02E" w14:textId="79D6DBBB" w:rsidR="00C609D2" w:rsidRDefault="00C609D2" w:rsidP="005D6140">
      <w:pPr>
        <w:ind w:firstLine="567"/>
      </w:pPr>
      <w:r>
        <w:t>Fjölskyldutengsl (   )</w:t>
      </w:r>
      <w:r w:rsidR="00D96816">
        <w:t xml:space="preserve">   Stéttarfélag (   )</w:t>
      </w:r>
    </w:p>
    <w:p w14:paraId="186F1B4A" w14:textId="7B54A29B" w:rsidR="005D6140" w:rsidRDefault="00822F8A" w:rsidP="00516279">
      <w:pPr>
        <w:ind w:firstLine="567"/>
      </w:pPr>
      <w:r>
        <w:t>A</w:t>
      </w:r>
      <w:r w:rsidR="005200B1">
        <w:t xml:space="preserve">nnað: </w:t>
      </w:r>
    </w:p>
    <w:p w14:paraId="7976AA70" w14:textId="77777777" w:rsidR="005D6140" w:rsidRDefault="005D6140" w:rsidP="005D6140">
      <w:pPr>
        <w:pStyle w:val="Fyrirsgn1"/>
      </w:pPr>
      <w:r>
        <w:t>TILGANGURINN MEÐ VINNSLUNNI</w:t>
      </w:r>
    </w:p>
    <w:p w14:paraId="5875929B" w14:textId="78EF14BC" w:rsidR="005D6140" w:rsidRDefault="005D6140" w:rsidP="005D6140">
      <w:pPr>
        <w:pStyle w:val="Fyrirsgn2"/>
      </w:pPr>
      <w:r>
        <w:t>Tilgangur vinnslunnar er</w:t>
      </w:r>
      <w:r w:rsidR="004F49B0">
        <w:t>:</w:t>
      </w:r>
    </w:p>
    <w:p w14:paraId="041F4860" w14:textId="467B68A5" w:rsidR="005D6140" w:rsidRDefault="00AF0715" w:rsidP="00516279">
      <w:pPr>
        <w:ind w:left="567"/>
      </w:pPr>
      <w:r>
        <w:t xml:space="preserve">Ábyrgðaraðili </w:t>
      </w:r>
      <w:r w:rsidR="00CB3647">
        <w:t>notar vef- og samskiptakerfi v</w:t>
      </w:r>
      <w:r w:rsidR="000C0166">
        <w:t>innsluaðila í markaðssetningartilgangi</w:t>
      </w:r>
      <w:r w:rsidR="00786630">
        <w:t xml:space="preserve"> og til að halda utan um upplýsingar</w:t>
      </w:r>
      <w:r w:rsidR="000C0166">
        <w:t xml:space="preserve">. </w:t>
      </w:r>
      <w:r w:rsidR="008B7DF1">
        <w:t xml:space="preserve">Vinnsluaðili </w:t>
      </w:r>
      <w:r w:rsidR="00CA1BB9">
        <w:t xml:space="preserve">vinnur persónuupplýsingar að </w:t>
      </w:r>
      <w:r w:rsidR="00462B8E">
        <w:t xml:space="preserve">því </w:t>
      </w:r>
      <w:r w:rsidR="00CA1BB9">
        <w:t>marki sem nauðsynlegt er til að veita umsamda þjónustu samkvæmt þjónustusamningi.</w:t>
      </w:r>
    </w:p>
    <w:p w14:paraId="3F282AB8" w14:textId="77777777" w:rsidR="005D6140" w:rsidRDefault="005D6140" w:rsidP="005D6140">
      <w:pPr>
        <w:pStyle w:val="Fyrirsgn1"/>
      </w:pPr>
      <w:r>
        <w:t>ÖRYGGI PERSÓNUUPPLÝSINGA</w:t>
      </w:r>
    </w:p>
    <w:p w14:paraId="3EC0AE3C" w14:textId="1AC76DC0" w:rsidR="005D6140" w:rsidRPr="00E956F0" w:rsidRDefault="005D6140" w:rsidP="00516279">
      <w:pPr>
        <w:pStyle w:val="Fyrirsgn2"/>
      </w:pPr>
      <w:r>
        <w:t>Í þeim tilgangi að fyrirbyggja og takmarka tjón af völdum mannlegra mistaka, þjófnaðar, svika og annarrar misnotkunar skal vinnsluaðili:</w:t>
      </w:r>
    </w:p>
    <w:p w14:paraId="00E91881" w14:textId="77777777" w:rsidR="005D6140" w:rsidRPr="00E956F0" w:rsidRDefault="005D6140" w:rsidP="005D6140">
      <w:pPr>
        <w:pStyle w:val="Mlsgreinlista"/>
        <w:numPr>
          <w:ilvl w:val="0"/>
          <w:numId w:val="4"/>
        </w:numPr>
        <w:rPr>
          <w:i/>
        </w:rPr>
      </w:pPr>
      <w:r w:rsidRPr="00E956F0">
        <w:rPr>
          <w:i/>
        </w:rPr>
        <w:t xml:space="preserve">fá skjalfestar þagnaryfirlýsingar starfsmanna sinna, </w:t>
      </w:r>
    </w:p>
    <w:p w14:paraId="095DC523" w14:textId="77777777" w:rsidR="005D6140" w:rsidRPr="00E956F0" w:rsidRDefault="005D6140" w:rsidP="005D6140">
      <w:pPr>
        <w:pStyle w:val="Mlsgreinlista"/>
        <w:numPr>
          <w:ilvl w:val="0"/>
          <w:numId w:val="4"/>
        </w:numPr>
        <w:rPr>
          <w:i/>
        </w:rPr>
      </w:pPr>
      <w:r w:rsidRPr="00E956F0">
        <w:rPr>
          <w:i/>
        </w:rPr>
        <w:t xml:space="preserve">skilgreina með skýrum hætti hlutverk og skyldur hvers starfsmanns sem hefur aðgang að persónuupplýsingum frá ábyrgðaraðila, og </w:t>
      </w:r>
    </w:p>
    <w:p w14:paraId="6D609300" w14:textId="77777777" w:rsidR="005D6140" w:rsidRPr="00E956F0" w:rsidRDefault="005D6140" w:rsidP="005D6140">
      <w:pPr>
        <w:pStyle w:val="Mlsgreinlista"/>
        <w:numPr>
          <w:ilvl w:val="0"/>
          <w:numId w:val="4"/>
        </w:numPr>
        <w:rPr>
          <w:i/>
        </w:rPr>
      </w:pPr>
      <w:r w:rsidRPr="00E956F0">
        <w:rPr>
          <w:i/>
        </w:rPr>
        <w:lastRenderedPageBreak/>
        <w:t xml:space="preserve">veita skriflegar leiðbeiningar til starfsfólks vinnsluaðila um örugga vinnslu persónuupplýsinga. </w:t>
      </w:r>
    </w:p>
    <w:p w14:paraId="2CF450B0" w14:textId="77777777" w:rsidR="005D6140" w:rsidRPr="00E956F0" w:rsidRDefault="005D6140" w:rsidP="005D6140">
      <w:pPr>
        <w:pStyle w:val="Mlsgreinlista"/>
        <w:spacing w:after="0"/>
        <w:ind w:left="1224"/>
        <w:rPr>
          <w:i/>
        </w:rPr>
      </w:pPr>
    </w:p>
    <w:p w14:paraId="33C83E8A" w14:textId="77777777" w:rsidR="005D6140" w:rsidRPr="00E956F0" w:rsidRDefault="005D6140" w:rsidP="005D6140">
      <w:pPr>
        <w:pStyle w:val="Fyrirsgn2"/>
        <w:rPr>
          <w:i/>
        </w:rPr>
      </w:pPr>
      <w:r w:rsidRPr="00E956F0">
        <w:rPr>
          <w:i/>
        </w:rPr>
        <w:t>Tryggja skal að öll gögn í umsjá vinnsluaðila séu varin gegn þjófnaði og skemmdum. Í þeim tilgangi að fyrirbyggja og takmarka tjón af völdum óheimils aðgangs að húsnæði, skal ábyrgðaraðili grípa til þeirra öryggisráðstafana sem við eiga hverju sinni, s.s.:</w:t>
      </w:r>
    </w:p>
    <w:p w14:paraId="2413FC5E" w14:textId="77777777" w:rsidR="005D6140" w:rsidRPr="00E956F0" w:rsidRDefault="005D6140" w:rsidP="005D6140">
      <w:pPr>
        <w:pStyle w:val="Mlsgreinlista"/>
        <w:spacing w:after="0"/>
        <w:ind w:left="567"/>
        <w:rPr>
          <w:i/>
        </w:rPr>
      </w:pPr>
    </w:p>
    <w:p w14:paraId="2DC55986" w14:textId="77777777" w:rsidR="005D6140" w:rsidRPr="00E956F0" w:rsidRDefault="005D6140" w:rsidP="005D6140">
      <w:pPr>
        <w:pStyle w:val="Mlsgreinlista"/>
        <w:numPr>
          <w:ilvl w:val="2"/>
          <w:numId w:val="1"/>
        </w:numPr>
        <w:suppressAutoHyphens/>
        <w:autoSpaceDN w:val="0"/>
        <w:spacing w:after="0"/>
        <w:contextualSpacing w:val="0"/>
        <w:textAlignment w:val="baseline"/>
        <w:rPr>
          <w:i/>
        </w:rPr>
      </w:pPr>
      <w:r w:rsidRPr="00E956F0">
        <w:rPr>
          <w:i/>
        </w:rPr>
        <w:t>að stýra aðgangi að húsnæði með úthlutun lykla, aðgangskorta o.þ.h.,</w:t>
      </w:r>
    </w:p>
    <w:p w14:paraId="07082613" w14:textId="77777777" w:rsidR="005D6140" w:rsidRPr="00E956F0" w:rsidRDefault="005D6140" w:rsidP="005D6140">
      <w:pPr>
        <w:pStyle w:val="Mlsgreinlista"/>
        <w:numPr>
          <w:ilvl w:val="2"/>
          <w:numId w:val="1"/>
        </w:numPr>
        <w:suppressAutoHyphens/>
        <w:autoSpaceDN w:val="0"/>
        <w:spacing w:after="0"/>
        <w:contextualSpacing w:val="0"/>
        <w:textAlignment w:val="baseline"/>
        <w:rPr>
          <w:i/>
        </w:rPr>
      </w:pPr>
      <w:r w:rsidRPr="00E956F0">
        <w:rPr>
          <w:i/>
        </w:rPr>
        <w:t>öryggisvörslu, t.d. með viðvörunarkerfum eða rafrænni vöktun, og</w:t>
      </w:r>
    </w:p>
    <w:p w14:paraId="5EA969D0" w14:textId="77777777" w:rsidR="005D6140" w:rsidRPr="00E956F0" w:rsidRDefault="005D6140" w:rsidP="005D6140">
      <w:pPr>
        <w:pStyle w:val="Mlsgreinlista"/>
        <w:numPr>
          <w:ilvl w:val="2"/>
          <w:numId w:val="1"/>
        </w:numPr>
        <w:suppressAutoHyphens/>
        <w:autoSpaceDN w:val="0"/>
        <w:spacing w:after="0"/>
        <w:contextualSpacing w:val="0"/>
        <w:textAlignment w:val="baseline"/>
        <w:rPr>
          <w:i/>
        </w:rPr>
      </w:pPr>
      <w:r w:rsidRPr="00E956F0">
        <w:rPr>
          <w:i/>
        </w:rPr>
        <w:t xml:space="preserve">að varðveita gögn, sem ekki eru rafræn og innihalda persónuupplýsingar frá ábyrgðaraðila, á öruggum stað, þar sem óviðkomandi aðilar haf ekki aðgang. </w:t>
      </w:r>
    </w:p>
    <w:p w14:paraId="244D3245" w14:textId="77777777" w:rsidR="005D6140" w:rsidRPr="00E956F0" w:rsidRDefault="005D6140" w:rsidP="005D6140">
      <w:pPr>
        <w:spacing w:after="0"/>
        <w:rPr>
          <w:i/>
        </w:rPr>
      </w:pPr>
    </w:p>
    <w:p w14:paraId="408E5583" w14:textId="77777777" w:rsidR="005D6140" w:rsidRPr="00E956F0" w:rsidRDefault="005D6140" w:rsidP="005D6140">
      <w:pPr>
        <w:pStyle w:val="Fyrirsgn2"/>
        <w:rPr>
          <w:i/>
        </w:rPr>
      </w:pPr>
      <w:r w:rsidRPr="00E956F0">
        <w:rPr>
          <w:i/>
        </w:rPr>
        <w:t>Í þeim tilgangi að fyrirbyggja og takmarka tjón af völdum bilana og óheimils aðgangs að búnaði skal vinnsluaðili m.a.:</w:t>
      </w:r>
    </w:p>
    <w:p w14:paraId="2F735144" w14:textId="77777777" w:rsidR="005D6140" w:rsidRPr="00E956F0" w:rsidRDefault="005D6140" w:rsidP="005D6140">
      <w:pPr>
        <w:pStyle w:val="Mlsgreinlista"/>
        <w:numPr>
          <w:ilvl w:val="2"/>
          <w:numId w:val="5"/>
        </w:numPr>
        <w:suppressAutoHyphens/>
        <w:autoSpaceDN w:val="0"/>
        <w:spacing w:after="0"/>
        <w:textAlignment w:val="baseline"/>
        <w:rPr>
          <w:i/>
        </w:rPr>
      </w:pPr>
      <w:r w:rsidRPr="00E956F0">
        <w:rPr>
          <w:i/>
        </w:rPr>
        <w:t xml:space="preserve">stýra aðgangi að búnaði með úthlutun aðgangs- og lykilorða og gera skýrar kröfur til setningu lykilorða, </w:t>
      </w:r>
    </w:p>
    <w:p w14:paraId="76016CE6" w14:textId="77777777" w:rsidR="005D6140" w:rsidRPr="00E956F0" w:rsidRDefault="005D6140" w:rsidP="005D6140">
      <w:pPr>
        <w:pStyle w:val="Mlsgreinlista"/>
        <w:numPr>
          <w:ilvl w:val="2"/>
          <w:numId w:val="5"/>
        </w:numPr>
        <w:suppressAutoHyphens/>
        <w:autoSpaceDN w:val="0"/>
        <w:spacing w:after="0"/>
        <w:textAlignment w:val="baseline"/>
        <w:rPr>
          <w:i/>
        </w:rPr>
      </w:pPr>
      <w:proofErr w:type="spellStart"/>
      <w:r w:rsidRPr="00E956F0">
        <w:rPr>
          <w:i/>
        </w:rPr>
        <w:t>dulkóða</w:t>
      </w:r>
      <w:proofErr w:type="spellEnd"/>
      <w:r w:rsidRPr="00E956F0">
        <w:rPr>
          <w:i/>
        </w:rPr>
        <w:t xml:space="preserve"> persónuupplýsingar og nota gerviauðkenni,</w:t>
      </w:r>
    </w:p>
    <w:p w14:paraId="2FBBB389" w14:textId="77777777" w:rsidR="005D6140" w:rsidRPr="00E956F0" w:rsidRDefault="005D6140" w:rsidP="005D6140">
      <w:pPr>
        <w:pStyle w:val="Mlsgreinlista"/>
        <w:numPr>
          <w:ilvl w:val="2"/>
          <w:numId w:val="5"/>
        </w:numPr>
        <w:suppressAutoHyphens/>
        <w:autoSpaceDN w:val="0"/>
        <w:spacing w:after="0"/>
        <w:textAlignment w:val="baseline"/>
        <w:rPr>
          <w:i/>
        </w:rPr>
      </w:pPr>
      <w:r w:rsidRPr="00E956F0">
        <w:rPr>
          <w:i/>
        </w:rPr>
        <w:t>tryggja rekjanleika uppflettinga og vinnsluaðgerða,</w:t>
      </w:r>
    </w:p>
    <w:p w14:paraId="4EE34B89" w14:textId="77777777" w:rsidR="005D6140" w:rsidRPr="00E956F0" w:rsidRDefault="005D6140" w:rsidP="005D6140">
      <w:pPr>
        <w:pStyle w:val="Mlsgreinlista"/>
        <w:numPr>
          <w:ilvl w:val="2"/>
          <w:numId w:val="5"/>
        </w:numPr>
        <w:suppressAutoHyphens/>
        <w:autoSpaceDN w:val="0"/>
        <w:spacing w:after="0"/>
        <w:textAlignment w:val="baseline"/>
        <w:rPr>
          <w:i/>
        </w:rPr>
      </w:pPr>
      <w:r w:rsidRPr="00E956F0">
        <w:rPr>
          <w:i/>
        </w:rPr>
        <w:t xml:space="preserve">takmarka aðgang að persónuupplýsingum við lesaðgang, til að koma í veg fyrir óheimila eyðingu, afritun eða samkeyrslu, og </w:t>
      </w:r>
    </w:p>
    <w:p w14:paraId="00D5AC87" w14:textId="77777777" w:rsidR="005D6140" w:rsidRPr="00E956F0" w:rsidRDefault="005D6140" w:rsidP="005D6140">
      <w:pPr>
        <w:pStyle w:val="Mlsgreinlista"/>
        <w:numPr>
          <w:ilvl w:val="2"/>
          <w:numId w:val="5"/>
        </w:numPr>
        <w:suppressAutoHyphens/>
        <w:autoSpaceDN w:val="0"/>
        <w:spacing w:after="0"/>
        <w:textAlignment w:val="baseline"/>
        <w:rPr>
          <w:i/>
        </w:rPr>
      </w:pPr>
      <w:r w:rsidRPr="00E956F0">
        <w:rPr>
          <w:i/>
        </w:rPr>
        <w:t xml:space="preserve">nota eldveggi og vírusvarnir. </w:t>
      </w:r>
    </w:p>
    <w:p w14:paraId="20485DC8" w14:textId="77777777" w:rsidR="005D6140" w:rsidRPr="00E956F0" w:rsidRDefault="005D6140" w:rsidP="005D6140">
      <w:pPr>
        <w:pStyle w:val="Mlsgreinlista"/>
        <w:spacing w:after="0"/>
        <w:ind w:left="1224"/>
        <w:rPr>
          <w:i/>
        </w:rPr>
      </w:pPr>
    </w:p>
    <w:p w14:paraId="2E77F671" w14:textId="2529A615" w:rsidR="004F49B0" w:rsidRPr="00297ADE" w:rsidRDefault="005D6140" w:rsidP="00297ADE">
      <w:pPr>
        <w:pStyle w:val="Fyrirsgn2"/>
        <w:rPr>
          <w:i/>
        </w:rPr>
      </w:pPr>
      <w:r w:rsidRPr="00E956F0">
        <w:rPr>
          <w:i/>
        </w:rPr>
        <w:t>Framangreindar ráðstafanir eru lágmarks ráðstafanir sem vinnsluaðila ber að fara eftir, til að gæta að öryggi persónuupplýsinga. Vinnsluaðili ber ábyrgð á að þær tæknilegu og skipulagslegu ráðstafanir sem gripið er til hverju sinni, séu viðeigandi og fullnægjandi.]</w:t>
      </w:r>
    </w:p>
    <w:p w14:paraId="7CCD1A63" w14:textId="2CB9B773" w:rsidR="005D6140" w:rsidRPr="0035534B" w:rsidRDefault="004F49B0">
      <w:pPr>
        <w:pStyle w:val="Fyrirsgn1"/>
        <w:numPr>
          <w:ilvl w:val="0"/>
          <w:numId w:val="0"/>
        </w:numPr>
      </w:pPr>
      <w:r>
        <w:t xml:space="preserve">6       </w:t>
      </w:r>
      <w:r w:rsidR="005D6140" w:rsidRPr="0035534B">
        <w:t>undirvinnsluaðilar</w:t>
      </w:r>
    </w:p>
    <w:p w14:paraId="637A31E0" w14:textId="6FCA2BEC" w:rsidR="005D6140" w:rsidRPr="006774B4" w:rsidRDefault="003661AB" w:rsidP="005D6140">
      <w:pPr>
        <w:ind w:firstLine="576"/>
      </w:pPr>
      <w:r>
        <w:t xml:space="preserve">Ábyrgðaraðili heimilar vinnsluaðila að nýta þjónustu eftirfarandi undirvinnsluaðila: </w:t>
      </w:r>
    </w:p>
    <w:tbl>
      <w:tblPr>
        <w:tblStyle w:val="Hnitanettflu"/>
        <w:tblW w:w="5013" w:type="dxa"/>
        <w:tblInd w:w="-550" w:type="dxa"/>
        <w:tblLook w:val="04A0" w:firstRow="1" w:lastRow="0" w:firstColumn="1" w:lastColumn="0" w:noHBand="0" w:noVBand="1"/>
      </w:tblPr>
      <w:tblGrid>
        <w:gridCol w:w="2650"/>
        <w:gridCol w:w="2363"/>
      </w:tblGrid>
      <w:tr w:rsidR="00855065" w14:paraId="71573D0F" w14:textId="77777777" w:rsidTr="00855065">
        <w:tc>
          <w:tcPr>
            <w:tcW w:w="2650" w:type="dxa"/>
            <w:shd w:val="clear" w:color="auto" w:fill="EEECE1" w:themeFill="background2"/>
          </w:tcPr>
          <w:p w14:paraId="61D841CE" w14:textId="77777777" w:rsidR="00855065" w:rsidRPr="00EA3ED2" w:rsidRDefault="00855065" w:rsidP="00230B77">
            <w:pPr>
              <w:jc w:val="center"/>
              <w:rPr>
                <w:b/>
              </w:rPr>
            </w:pPr>
            <w:r w:rsidRPr="00EA3ED2">
              <w:rPr>
                <w:b/>
              </w:rPr>
              <w:t>Undirvinnsluaðili</w:t>
            </w:r>
          </w:p>
        </w:tc>
        <w:tc>
          <w:tcPr>
            <w:tcW w:w="2363" w:type="dxa"/>
            <w:shd w:val="clear" w:color="auto" w:fill="EEECE1" w:themeFill="background2"/>
          </w:tcPr>
          <w:p w14:paraId="40615719" w14:textId="77777777" w:rsidR="00855065" w:rsidRPr="00EA3ED2" w:rsidRDefault="00855065" w:rsidP="00230B77">
            <w:pPr>
              <w:rPr>
                <w:b/>
              </w:rPr>
            </w:pPr>
            <w:r w:rsidRPr="00EA3ED2">
              <w:rPr>
                <w:b/>
              </w:rPr>
              <w:t>Vinnsla</w:t>
            </w:r>
          </w:p>
        </w:tc>
      </w:tr>
      <w:tr w:rsidR="00855065" w14:paraId="1B53D7F3" w14:textId="77777777" w:rsidTr="00855065">
        <w:tc>
          <w:tcPr>
            <w:tcW w:w="2650" w:type="dxa"/>
          </w:tcPr>
          <w:p w14:paraId="3ACE66A1" w14:textId="77777777" w:rsidR="00855065" w:rsidRPr="006A4AA3" w:rsidRDefault="00855065" w:rsidP="00230B77">
            <w:pPr>
              <w:rPr>
                <w:i/>
              </w:rPr>
            </w:pPr>
            <w:r>
              <w:rPr>
                <w:i/>
              </w:rPr>
              <w:t>Digital Ocean</w:t>
            </w:r>
          </w:p>
        </w:tc>
        <w:tc>
          <w:tcPr>
            <w:tcW w:w="2363" w:type="dxa"/>
          </w:tcPr>
          <w:p w14:paraId="1B4403D6" w14:textId="77777777" w:rsidR="00855065" w:rsidRPr="006A4AA3" w:rsidRDefault="00855065" w:rsidP="00230B77">
            <w:pPr>
              <w:rPr>
                <w:i/>
              </w:rPr>
            </w:pPr>
            <w:proofErr w:type="spellStart"/>
            <w:r>
              <w:rPr>
                <w:i/>
              </w:rPr>
              <w:t>Hýsing</w:t>
            </w:r>
            <w:proofErr w:type="spellEnd"/>
            <w:r>
              <w:rPr>
                <w:i/>
              </w:rPr>
              <w:t xml:space="preserve"> og þjónusta innan EES</w:t>
            </w:r>
          </w:p>
        </w:tc>
      </w:tr>
      <w:tr w:rsidR="00855065" w14:paraId="49066D23" w14:textId="77777777" w:rsidTr="00855065">
        <w:tc>
          <w:tcPr>
            <w:tcW w:w="2650" w:type="dxa"/>
          </w:tcPr>
          <w:p w14:paraId="7A904962" w14:textId="77777777" w:rsidR="00855065" w:rsidRPr="006A4AA3" w:rsidRDefault="00855065" w:rsidP="00855065">
            <w:pPr>
              <w:rPr>
                <w:i/>
              </w:rPr>
            </w:pPr>
            <w:proofErr w:type="spellStart"/>
            <w:r>
              <w:rPr>
                <w:i/>
              </w:rPr>
              <w:t>Davelo</w:t>
            </w:r>
            <w:proofErr w:type="spellEnd"/>
            <w:r>
              <w:rPr>
                <w:i/>
              </w:rPr>
              <w:t xml:space="preserve"> ehf.</w:t>
            </w:r>
          </w:p>
        </w:tc>
        <w:tc>
          <w:tcPr>
            <w:tcW w:w="2363" w:type="dxa"/>
          </w:tcPr>
          <w:p w14:paraId="0C5C3914" w14:textId="77777777" w:rsidR="00855065" w:rsidRDefault="00855065" w:rsidP="00855065">
            <w:pPr>
              <w:rPr>
                <w:i/>
              </w:rPr>
            </w:pPr>
            <w:proofErr w:type="spellStart"/>
            <w:r>
              <w:rPr>
                <w:i/>
              </w:rPr>
              <w:t>Hýsing</w:t>
            </w:r>
            <w:proofErr w:type="spellEnd"/>
            <w:r>
              <w:rPr>
                <w:i/>
              </w:rPr>
              <w:t xml:space="preserve"> og þjónusta innan EES</w:t>
            </w:r>
          </w:p>
        </w:tc>
      </w:tr>
      <w:tr w:rsidR="00855065" w14:paraId="1B6A40EA" w14:textId="77777777" w:rsidTr="00855065">
        <w:tc>
          <w:tcPr>
            <w:tcW w:w="2650" w:type="dxa"/>
          </w:tcPr>
          <w:p w14:paraId="1695AC63" w14:textId="77777777" w:rsidR="00855065" w:rsidRPr="006A4AA3" w:rsidRDefault="00855065" w:rsidP="00855065">
            <w:pPr>
              <w:rPr>
                <w:i/>
              </w:rPr>
            </w:pPr>
            <w:r>
              <w:rPr>
                <w:i/>
              </w:rPr>
              <w:t xml:space="preserve">Google </w:t>
            </w:r>
            <w:proofErr w:type="spellStart"/>
            <w:r>
              <w:rPr>
                <w:i/>
              </w:rPr>
              <w:t>inc.</w:t>
            </w:r>
            <w:proofErr w:type="spellEnd"/>
          </w:p>
        </w:tc>
        <w:tc>
          <w:tcPr>
            <w:tcW w:w="2363" w:type="dxa"/>
          </w:tcPr>
          <w:p w14:paraId="07030F2F" w14:textId="77777777" w:rsidR="00855065" w:rsidRDefault="00855065" w:rsidP="00855065">
            <w:pPr>
              <w:rPr>
                <w:i/>
              </w:rPr>
            </w:pPr>
            <w:proofErr w:type="spellStart"/>
            <w:r>
              <w:rPr>
                <w:i/>
              </w:rPr>
              <w:t>Hýsing</w:t>
            </w:r>
            <w:proofErr w:type="spellEnd"/>
            <w:r>
              <w:rPr>
                <w:i/>
              </w:rPr>
              <w:t xml:space="preserve"> og þjónusta innan EES</w:t>
            </w:r>
          </w:p>
        </w:tc>
      </w:tr>
      <w:tr w:rsidR="00855065" w14:paraId="6D4994EB" w14:textId="77777777" w:rsidTr="00855065">
        <w:tc>
          <w:tcPr>
            <w:tcW w:w="2650" w:type="dxa"/>
          </w:tcPr>
          <w:p w14:paraId="56490562" w14:textId="77777777" w:rsidR="00855065" w:rsidRDefault="00855065" w:rsidP="00855065">
            <w:pPr>
              <w:rPr>
                <w:i/>
              </w:rPr>
            </w:pPr>
            <w:r>
              <w:rPr>
                <w:i/>
              </w:rPr>
              <w:t xml:space="preserve">Microsoft </w:t>
            </w:r>
            <w:proofErr w:type="spellStart"/>
            <w:r>
              <w:rPr>
                <w:i/>
              </w:rPr>
              <w:t>inc.</w:t>
            </w:r>
            <w:proofErr w:type="spellEnd"/>
          </w:p>
        </w:tc>
        <w:tc>
          <w:tcPr>
            <w:tcW w:w="2363" w:type="dxa"/>
          </w:tcPr>
          <w:p w14:paraId="4A60592B" w14:textId="77777777" w:rsidR="00855065" w:rsidRDefault="00855065" w:rsidP="00855065">
            <w:pPr>
              <w:rPr>
                <w:i/>
              </w:rPr>
            </w:pPr>
            <w:proofErr w:type="spellStart"/>
            <w:r>
              <w:rPr>
                <w:i/>
              </w:rPr>
              <w:t>Hýsing</w:t>
            </w:r>
            <w:proofErr w:type="spellEnd"/>
            <w:r>
              <w:rPr>
                <w:i/>
              </w:rPr>
              <w:t xml:space="preserve"> og þjónusta innan EES</w:t>
            </w:r>
          </w:p>
        </w:tc>
      </w:tr>
    </w:tbl>
    <w:p w14:paraId="3AE2F475" w14:textId="77777777" w:rsidR="006354A2" w:rsidRPr="00DF0B96" w:rsidRDefault="006354A2" w:rsidP="00B616E1">
      <w:pPr>
        <w:spacing w:line="240" w:lineRule="auto"/>
      </w:pPr>
    </w:p>
    <w:sectPr w:rsidR="006354A2" w:rsidRPr="00DF0B96" w:rsidSect="000C2E76">
      <w:pgSz w:w="11906" w:h="16838"/>
      <w:pgMar w:top="1418"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878E" w14:textId="77777777" w:rsidR="002928E1" w:rsidRDefault="002928E1">
      <w:pPr>
        <w:spacing w:after="0" w:line="240" w:lineRule="auto"/>
      </w:pPr>
      <w:r>
        <w:separator/>
      </w:r>
    </w:p>
  </w:endnote>
  <w:endnote w:type="continuationSeparator" w:id="0">
    <w:p w14:paraId="19F4571E" w14:textId="77777777" w:rsidR="002928E1" w:rsidRDefault="0029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83051"/>
      <w:docPartObj>
        <w:docPartGallery w:val="Page Numbers (Bottom of Page)"/>
        <w:docPartUnique/>
      </w:docPartObj>
    </w:sdtPr>
    <w:sdtEndPr>
      <w:rPr>
        <w:noProof/>
      </w:rPr>
    </w:sdtEndPr>
    <w:sdtContent>
      <w:p w14:paraId="1E52A94B" w14:textId="77777777" w:rsidR="008F23C3" w:rsidRDefault="005D6140">
        <w:pPr>
          <w:pStyle w:val="Suftur"/>
          <w:jc w:val="center"/>
        </w:pPr>
        <w:r>
          <w:fldChar w:fldCharType="begin"/>
        </w:r>
        <w:r>
          <w:instrText xml:space="preserve"> PAGE   \* MERGEFORMAT </w:instrText>
        </w:r>
        <w:r>
          <w:fldChar w:fldCharType="separate"/>
        </w:r>
        <w:r>
          <w:rPr>
            <w:noProof/>
          </w:rPr>
          <w:t>9</w:t>
        </w:r>
        <w:r>
          <w:rPr>
            <w:noProof/>
          </w:rPr>
          <w:fldChar w:fldCharType="end"/>
        </w:r>
      </w:p>
    </w:sdtContent>
  </w:sdt>
  <w:p w14:paraId="643573D7" w14:textId="77777777" w:rsidR="008F23C3" w:rsidRDefault="002928E1">
    <w:pPr>
      <w:pStyle w:val="Suftur"/>
    </w:pPr>
  </w:p>
  <w:p w14:paraId="71A9F7E3" w14:textId="77777777" w:rsidR="008F23C3" w:rsidRDefault="00292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22440"/>
      <w:docPartObj>
        <w:docPartGallery w:val="Page Numbers (Bottom of Page)"/>
        <w:docPartUnique/>
      </w:docPartObj>
    </w:sdtPr>
    <w:sdtEndPr>
      <w:rPr>
        <w:noProof/>
      </w:rPr>
    </w:sdtEndPr>
    <w:sdtContent>
      <w:p w14:paraId="778161CC" w14:textId="77777777" w:rsidR="008F23C3" w:rsidRDefault="005D6140">
        <w:pPr>
          <w:pStyle w:val="Suftu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EE32" w14:textId="77777777" w:rsidR="002928E1" w:rsidRDefault="002928E1">
      <w:pPr>
        <w:spacing w:after="0" w:line="240" w:lineRule="auto"/>
      </w:pPr>
      <w:r>
        <w:separator/>
      </w:r>
    </w:p>
  </w:footnote>
  <w:footnote w:type="continuationSeparator" w:id="0">
    <w:p w14:paraId="1A4A7C3F" w14:textId="77777777" w:rsidR="002928E1" w:rsidRDefault="00292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434"/>
    <w:multiLevelType w:val="multilevel"/>
    <w:tmpl w:val="4EC0B1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224" w:hanging="504"/>
      </w:pPr>
      <w:rPr>
        <w:rFonts w:ascii="Verdana" w:eastAsia="Calibri" w:hAnsi="Verdana"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534A78"/>
    <w:multiLevelType w:val="hybridMultilevel"/>
    <w:tmpl w:val="28E6653E"/>
    <w:lvl w:ilvl="0" w:tplc="040F0017">
      <w:start w:val="1"/>
      <w:numFmt w:val="lowerLetter"/>
      <w:lvlText w:val="%1)"/>
      <w:lvlJc w:val="left"/>
      <w:pPr>
        <w:ind w:left="1260" w:hanging="360"/>
      </w:pPr>
    </w:lvl>
    <w:lvl w:ilvl="1" w:tplc="040F0019" w:tentative="1">
      <w:start w:val="1"/>
      <w:numFmt w:val="lowerLetter"/>
      <w:lvlText w:val="%2."/>
      <w:lvlJc w:val="left"/>
      <w:pPr>
        <w:ind w:left="1980" w:hanging="360"/>
      </w:pPr>
    </w:lvl>
    <w:lvl w:ilvl="2" w:tplc="040F001B" w:tentative="1">
      <w:start w:val="1"/>
      <w:numFmt w:val="lowerRoman"/>
      <w:lvlText w:val="%3."/>
      <w:lvlJc w:val="right"/>
      <w:pPr>
        <w:ind w:left="2700" w:hanging="180"/>
      </w:pPr>
    </w:lvl>
    <w:lvl w:ilvl="3" w:tplc="040F000F" w:tentative="1">
      <w:start w:val="1"/>
      <w:numFmt w:val="decimal"/>
      <w:lvlText w:val="%4."/>
      <w:lvlJc w:val="left"/>
      <w:pPr>
        <w:ind w:left="3420" w:hanging="360"/>
      </w:pPr>
    </w:lvl>
    <w:lvl w:ilvl="4" w:tplc="040F0019" w:tentative="1">
      <w:start w:val="1"/>
      <w:numFmt w:val="lowerLetter"/>
      <w:lvlText w:val="%5."/>
      <w:lvlJc w:val="left"/>
      <w:pPr>
        <w:ind w:left="4140" w:hanging="360"/>
      </w:pPr>
    </w:lvl>
    <w:lvl w:ilvl="5" w:tplc="040F001B" w:tentative="1">
      <w:start w:val="1"/>
      <w:numFmt w:val="lowerRoman"/>
      <w:lvlText w:val="%6."/>
      <w:lvlJc w:val="right"/>
      <w:pPr>
        <w:ind w:left="4860" w:hanging="180"/>
      </w:pPr>
    </w:lvl>
    <w:lvl w:ilvl="6" w:tplc="040F000F" w:tentative="1">
      <w:start w:val="1"/>
      <w:numFmt w:val="decimal"/>
      <w:lvlText w:val="%7."/>
      <w:lvlJc w:val="left"/>
      <w:pPr>
        <w:ind w:left="5580" w:hanging="360"/>
      </w:pPr>
    </w:lvl>
    <w:lvl w:ilvl="7" w:tplc="040F0019" w:tentative="1">
      <w:start w:val="1"/>
      <w:numFmt w:val="lowerLetter"/>
      <w:lvlText w:val="%8."/>
      <w:lvlJc w:val="left"/>
      <w:pPr>
        <w:ind w:left="6300" w:hanging="360"/>
      </w:pPr>
    </w:lvl>
    <w:lvl w:ilvl="8" w:tplc="040F001B" w:tentative="1">
      <w:start w:val="1"/>
      <w:numFmt w:val="lowerRoman"/>
      <w:lvlText w:val="%9."/>
      <w:lvlJc w:val="right"/>
      <w:pPr>
        <w:ind w:left="7020" w:hanging="180"/>
      </w:pPr>
    </w:lvl>
  </w:abstractNum>
  <w:abstractNum w:abstractNumId="2" w15:restartNumberingAfterBreak="0">
    <w:nsid w:val="3E10333C"/>
    <w:multiLevelType w:val="multilevel"/>
    <w:tmpl w:val="4EC0B1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224" w:hanging="504"/>
      </w:pPr>
      <w:rPr>
        <w:rFonts w:ascii="Verdana" w:eastAsia="Calibri" w:hAnsi="Verdana"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7138A1"/>
    <w:multiLevelType w:val="multilevel"/>
    <w:tmpl w:val="AF525DE6"/>
    <w:lvl w:ilvl="0">
      <w:start w:val="1"/>
      <w:numFmt w:val="decimal"/>
      <w:pStyle w:val="Fyrirsgn1"/>
      <w:lvlText w:val="%1"/>
      <w:lvlJc w:val="left"/>
      <w:pPr>
        <w:ind w:left="432" w:hanging="432"/>
      </w:pPr>
      <w:rPr>
        <w:rFonts w:hint="default"/>
      </w:rPr>
    </w:lvl>
    <w:lvl w:ilvl="1">
      <w:start w:val="1"/>
      <w:numFmt w:val="decimal"/>
      <w:pStyle w:val="Fyrirsgn2"/>
      <w:lvlText w:val="%1.%2"/>
      <w:lvlJc w:val="left"/>
      <w:pPr>
        <w:ind w:left="576" w:hanging="576"/>
      </w:pPr>
      <w:rPr>
        <w:b w:val="0"/>
      </w:rPr>
    </w:lvl>
    <w:lvl w:ilvl="2">
      <w:start w:val="1"/>
      <w:numFmt w:val="decimal"/>
      <w:pStyle w:val="Fyrirsgn3"/>
      <w:lvlText w:val="%1.%2.%3"/>
      <w:lvlJc w:val="left"/>
      <w:pPr>
        <w:ind w:left="720" w:hanging="720"/>
      </w:pPr>
    </w:lvl>
    <w:lvl w:ilvl="3">
      <w:start w:val="1"/>
      <w:numFmt w:val="decimal"/>
      <w:pStyle w:val="Fyrirsgn4"/>
      <w:lvlText w:val="%1.%2.%3.%4"/>
      <w:lvlJc w:val="left"/>
      <w:pPr>
        <w:ind w:left="864" w:hanging="864"/>
      </w:pPr>
    </w:lvl>
    <w:lvl w:ilvl="4">
      <w:start w:val="1"/>
      <w:numFmt w:val="decimal"/>
      <w:pStyle w:val="Fyrirsgn5"/>
      <w:lvlText w:val="%1.%2.%3.%4.%5"/>
      <w:lvlJc w:val="left"/>
      <w:pPr>
        <w:ind w:left="1008" w:hanging="1008"/>
      </w:pPr>
    </w:lvl>
    <w:lvl w:ilvl="5">
      <w:start w:val="1"/>
      <w:numFmt w:val="decimal"/>
      <w:pStyle w:val="Fyrirsgn6"/>
      <w:lvlText w:val="%1.%2.%3.%4.%5.%6"/>
      <w:lvlJc w:val="left"/>
      <w:pPr>
        <w:ind w:left="1152" w:hanging="1152"/>
      </w:pPr>
    </w:lvl>
    <w:lvl w:ilvl="6">
      <w:start w:val="1"/>
      <w:numFmt w:val="decimal"/>
      <w:pStyle w:val="Fyrirsgn7"/>
      <w:lvlText w:val="%1.%2.%3.%4.%5.%6.%7"/>
      <w:lvlJc w:val="left"/>
      <w:pPr>
        <w:ind w:left="1296" w:hanging="1296"/>
      </w:pPr>
    </w:lvl>
    <w:lvl w:ilvl="7">
      <w:start w:val="1"/>
      <w:numFmt w:val="decimal"/>
      <w:pStyle w:val="Fyrirsgn8"/>
      <w:lvlText w:val="%1.%2.%3.%4.%5.%6.%7.%8"/>
      <w:lvlJc w:val="left"/>
      <w:pPr>
        <w:ind w:left="1440" w:hanging="1440"/>
      </w:pPr>
    </w:lvl>
    <w:lvl w:ilvl="8">
      <w:start w:val="1"/>
      <w:numFmt w:val="decimal"/>
      <w:pStyle w:val="Fyrirsgn9"/>
      <w:lvlText w:val="%1.%2.%3.%4.%5.%6.%7.%8.%9"/>
      <w:lvlJc w:val="left"/>
      <w:pPr>
        <w:ind w:left="1584" w:hanging="1584"/>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40"/>
    <w:rsid w:val="0000089F"/>
    <w:rsid w:val="0000415D"/>
    <w:rsid w:val="00015F92"/>
    <w:rsid w:val="00017431"/>
    <w:rsid w:val="00023C53"/>
    <w:rsid w:val="000735E4"/>
    <w:rsid w:val="0008096D"/>
    <w:rsid w:val="000814EF"/>
    <w:rsid w:val="00095C46"/>
    <w:rsid w:val="000C0166"/>
    <w:rsid w:val="000C6B0D"/>
    <w:rsid w:val="000D476F"/>
    <w:rsid w:val="00102727"/>
    <w:rsid w:val="00144BDA"/>
    <w:rsid w:val="001532F4"/>
    <w:rsid w:val="001608BF"/>
    <w:rsid w:val="00174970"/>
    <w:rsid w:val="00182433"/>
    <w:rsid w:val="001B423F"/>
    <w:rsid w:val="001F5E5D"/>
    <w:rsid w:val="00205951"/>
    <w:rsid w:val="00206483"/>
    <w:rsid w:val="00206FF2"/>
    <w:rsid w:val="00282B06"/>
    <w:rsid w:val="002928E1"/>
    <w:rsid w:val="00297ADE"/>
    <w:rsid w:val="002E5481"/>
    <w:rsid w:val="002F371A"/>
    <w:rsid w:val="002F605E"/>
    <w:rsid w:val="00306042"/>
    <w:rsid w:val="00315816"/>
    <w:rsid w:val="0032536C"/>
    <w:rsid w:val="003367BC"/>
    <w:rsid w:val="003661AB"/>
    <w:rsid w:val="003860DF"/>
    <w:rsid w:val="003A17D5"/>
    <w:rsid w:val="003C4DCE"/>
    <w:rsid w:val="00456A06"/>
    <w:rsid w:val="00462B8E"/>
    <w:rsid w:val="004862D0"/>
    <w:rsid w:val="004C43E8"/>
    <w:rsid w:val="004D5288"/>
    <w:rsid w:val="004F49B0"/>
    <w:rsid w:val="00504C91"/>
    <w:rsid w:val="00515C02"/>
    <w:rsid w:val="00516279"/>
    <w:rsid w:val="005200B1"/>
    <w:rsid w:val="00521BB7"/>
    <w:rsid w:val="00530E2B"/>
    <w:rsid w:val="00552DF9"/>
    <w:rsid w:val="005A401D"/>
    <w:rsid w:val="005D6140"/>
    <w:rsid w:val="006354A2"/>
    <w:rsid w:val="0066526E"/>
    <w:rsid w:val="006A3405"/>
    <w:rsid w:val="006B4472"/>
    <w:rsid w:val="006D1DC1"/>
    <w:rsid w:val="006F36C8"/>
    <w:rsid w:val="0072541F"/>
    <w:rsid w:val="00737BB3"/>
    <w:rsid w:val="00750789"/>
    <w:rsid w:val="00786630"/>
    <w:rsid w:val="007E395C"/>
    <w:rsid w:val="00822F8A"/>
    <w:rsid w:val="00855065"/>
    <w:rsid w:val="008834E6"/>
    <w:rsid w:val="00896173"/>
    <w:rsid w:val="008B7DF1"/>
    <w:rsid w:val="008D3751"/>
    <w:rsid w:val="008E6E7F"/>
    <w:rsid w:val="00904F2D"/>
    <w:rsid w:val="009161E6"/>
    <w:rsid w:val="00936DBD"/>
    <w:rsid w:val="00965111"/>
    <w:rsid w:val="009B4B4D"/>
    <w:rsid w:val="009C7FCD"/>
    <w:rsid w:val="009E38D2"/>
    <w:rsid w:val="00A23152"/>
    <w:rsid w:val="00A7524B"/>
    <w:rsid w:val="00AC0F46"/>
    <w:rsid w:val="00AF0715"/>
    <w:rsid w:val="00B2596C"/>
    <w:rsid w:val="00B35673"/>
    <w:rsid w:val="00B5361F"/>
    <w:rsid w:val="00B616E1"/>
    <w:rsid w:val="00BA0EE8"/>
    <w:rsid w:val="00BB0E4B"/>
    <w:rsid w:val="00BD5C87"/>
    <w:rsid w:val="00BF1F01"/>
    <w:rsid w:val="00C05E75"/>
    <w:rsid w:val="00C609D2"/>
    <w:rsid w:val="00C77B94"/>
    <w:rsid w:val="00C8163D"/>
    <w:rsid w:val="00CA1BB9"/>
    <w:rsid w:val="00CB3647"/>
    <w:rsid w:val="00CC012C"/>
    <w:rsid w:val="00CD11BA"/>
    <w:rsid w:val="00D0680A"/>
    <w:rsid w:val="00D96816"/>
    <w:rsid w:val="00DA78A5"/>
    <w:rsid w:val="00DF0B96"/>
    <w:rsid w:val="00E47AAD"/>
    <w:rsid w:val="00E66A36"/>
    <w:rsid w:val="00E84A6D"/>
    <w:rsid w:val="00EE207B"/>
    <w:rsid w:val="00F04EFD"/>
    <w:rsid w:val="00F7043F"/>
    <w:rsid w:val="00F8173A"/>
    <w:rsid w:val="00FA5F96"/>
    <w:rsid w:val="00FC2C1F"/>
    <w:rsid w:val="00FD21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8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Arial"/>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5D6140"/>
    <w:pPr>
      <w:jc w:val="both"/>
    </w:pPr>
  </w:style>
  <w:style w:type="paragraph" w:styleId="Fyrirsgn1">
    <w:name w:val="heading 1"/>
    <w:basedOn w:val="Mlsgreinlista"/>
    <w:next w:val="Venjulegur"/>
    <w:link w:val="Fyrirsgn1Staf"/>
    <w:uiPriority w:val="9"/>
    <w:qFormat/>
    <w:rsid w:val="005D6140"/>
    <w:pPr>
      <w:numPr>
        <w:numId w:val="2"/>
      </w:numPr>
      <w:ind w:left="576" w:hanging="576"/>
      <w:contextualSpacing w:val="0"/>
      <w:outlineLvl w:val="0"/>
    </w:pPr>
    <w:rPr>
      <w:b/>
      <w:caps/>
    </w:rPr>
  </w:style>
  <w:style w:type="paragraph" w:styleId="Fyrirsgn2">
    <w:name w:val="heading 2"/>
    <w:basedOn w:val="Mlsgreinlista"/>
    <w:next w:val="Venjulegur"/>
    <w:link w:val="Fyrirsgn2Staf"/>
    <w:uiPriority w:val="9"/>
    <w:unhideWhenUsed/>
    <w:qFormat/>
    <w:rsid w:val="005D6140"/>
    <w:pPr>
      <w:numPr>
        <w:ilvl w:val="1"/>
        <w:numId w:val="2"/>
      </w:numPr>
      <w:suppressAutoHyphens/>
      <w:autoSpaceDN w:val="0"/>
      <w:contextualSpacing w:val="0"/>
      <w:textAlignment w:val="baseline"/>
      <w:outlineLvl w:val="1"/>
    </w:pPr>
  </w:style>
  <w:style w:type="paragraph" w:styleId="Fyrirsgn3">
    <w:name w:val="heading 3"/>
    <w:basedOn w:val="Venjulegur"/>
    <w:next w:val="Venjulegur"/>
    <w:link w:val="Fyrirsgn3Staf"/>
    <w:uiPriority w:val="9"/>
    <w:semiHidden/>
    <w:unhideWhenUsed/>
    <w:qFormat/>
    <w:rsid w:val="005D6140"/>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Fyrirsgn4">
    <w:name w:val="heading 4"/>
    <w:basedOn w:val="Venjulegur"/>
    <w:next w:val="Venjulegur"/>
    <w:link w:val="Fyrirsgn4Staf"/>
    <w:uiPriority w:val="9"/>
    <w:semiHidden/>
    <w:unhideWhenUsed/>
    <w:qFormat/>
    <w:rsid w:val="005D6140"/>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Fyrirsgn5">
    <w:name w:val="heading 5"/>
    <w:basedOn w:val="Venjulegur"/>
    <w:next w:val="Venjulegur"/>
    <w:link w:val="Fyrirsgn5Staf"/>
    <w:uiPriority w:val="9"/>
    <w:semiHidden/>
    <w:unhideWhenUsed/>
    <w:qFormat/>
    <w:rsid w:val="005D6140"/>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Fyrirsgn6">
    <w:name w:val="heading 6"/>
    <w:basedOn w:val="Venjulegur"/>
    <w:next w:val="Venjulegur"/>
    <w:link w:val="Fyrirsgn6Staf"/>
    <w:uiPriority w:val="9"/>
    <w:semiHidden/>
    <w:unhideWhenUsed/>
    <w:qFormat/>
    <w:rsid w:val="005D6140"/>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Fyrirsgn7">
    <w:name w:val="heading 7"/>
    <w:basedOn w:val="Venjulegur"/>
    <w:next w:val="Venjulegur"/>
    <w:link w:val="Fyrirsgn7Staf"/>
    <w:uiPriority w:val="9"/>
    <w:semiHidden/>
    <w:unhideWhenUsed/>
    <w:qFormat/>
    <w:rsid w:val="005D6140"/>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Fyrirsgn8">
    <w:name w:val="heading 8"/>
    <w:basedOn w:val="Venjulegur"/>
    <w:next w:val="Venjulegur"/>
    <w:link w:val="Fyrirsgn8Staf"/>
    <w:uiPriority w:val="9"/>
    <w:semiHidden/>
    <w:unhideWhenUsed/>
    <w:qFormat/>
    <w:rsid w:val="005D614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Fyrirsgn9">
    <w:name w:val="heading 9"/>
    <w:basedOn w:val="Venjulegur"/>
    <w:next w:val="Venjulegur"/>
    <w:link w:val="Fyrirsgn9Staf"/>
    <w:uiPriority w:val="9"/>
    <w:semiHidden/>
    <w:unhideWhenUsed/>
    <w:qFormat/>
    <w:rsid w:val="005D614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5D6140"/>
    <w:rPr>
      <w:b/>
      <w:caps/>
    </w:rPr>
  </w:style>
  <w:style w:type="character" w:customStyle="1" w:styleId="Fyrirsgn2Staf">
    <w:name w:val="Fyrirsögn 2 Staf"/>
    <w:basedOn w:val="Sjlfgefinleturgermlsgreinar"/>
    <w:link w:val="Fyrirsgn2"/>
    <w:uiPriority w:val="9"/>
    <w:rsid w:val="005D6140"/>
  </w:style>
  <w:style w:type="character" w:customStyle="1" w:styleId="Fyrirsgn3Staf">
    <w:name w:val="Fyrirsögn 3 Staf"/>
    <w:basedOn w:val="Sjlfgefinleturgermlsgreinar"/>
    <w:link w:val="Fyrirsgn3"/>
    <w:uiPriority w:val="9"/>
    <w:semiHidden/>
    <w:rsid w:val="005D6140"/>
    <w:rPr>
      <w:rFonts w:asciiTheme="majorHAnsi" w:eastAsiaTheme="majorEastAsia" w:hAnsiTheme="majorHAnsi" w:cstheme="majorBidi"/>
      <w:color w:val="243F60" w:themeColor="accent1" w:themeShade="7F"/>
      <w:sz w:val="24"/>
      <w:szCs w:val="24"/>
    </w:rPr>
  </w:style>
  <w:style w:type="character" w:customStyle="1" w:styleId="Fyrirsgn4Staf">
    <w:name w:val="Fyrirsögn 4 Staf"/>
    <w:basedOn w:val="Sjlfgefinleturgermlsgreinar"/>
    <w:link w:val="Fyrirsgn4"/>
    <w:uiPriority w:val="9"/>
    <w:semiHidden/>
    <w:rsid w:val="005D6140"/>
    <w:rPr>
      <w:rFonts w:asciiTheme="majorHAnsi" w:eastAsiaTheme="majorEastAsia" w:hAnsiTheme="majorHAnsi" w:cstheme="majorBidi"/>
      <w:i/>
      <w:iCs/>
      <w:color w:val="365F91" w:themeColor="accent1" w:themeShade="BF"/>
    </w:rPr>
  </w:style>
  <w:style w:type="character" w:customStyle="1" w:styleId="Fyrirsgn5Staf">
    <w:name w:val="Fyrirsögn 5 Staf"/>
    <w:basedOn w:val="Sjlfgefinleturgermlsgreinar"/>
    <w:link w:val="Fyrirsgn5"/>
    <w:uiPriority w:val="9"/>
    <w:semiHidden/>
    <w:rsid w:val="005D6140"/>
    <w:rPr>
      <w:rFonts w:asciiTheme="majorHAnsi" w:eastAsiaTheme="majorEastAsia" w:hAnsiTheme="majorHAnsi" w:cstheme="majorBidi"/>
      <w:color w:val="365F91" w:themeColor="accent1" w:themeShade="BF"/>
    </w:rPr>
  </w:style>
  <w:style w:type="character" w:customStyle="1" w:styleId="Fyrirsgn6Staf">
    <w:name w:val="Fyrirsögn 6 Staf"/>
    <w:basedOn w:val="Sjlfgefinleturgermlsgreinar"/>
    <w:link w:val="Fyrirsgn6"/>
    <w:uiPriority w:val="9"/>
    <w:semiHidden/>
    <w:rsid w:val="005D6140"/>
    <w:rPr>
      <w:rFonts w:asciiTheme="majorHAnsi" w:eastAsiaTheme="majorEastAsia" w:hAnsiTheme="majorHAnsi" w:cstheme="majorBidi"/>
      <w:color w:val="243F60" w:themeColor="accent1" w:themeShade="7F"/>
    </w:rPr>
  </w:style>
  <w:style w:type="character" w:customStyle="1" w:styleId="Fyrirsgn7Staf">
    <w:name w:val="Fyrirsögn 7 Staf"/>
    <w:basedOn w:val="Sjlfgefinleturgermlsgreinar"/>
    <w:link w:val="Fyrirsgn7"/>
    <w:uiPriority w:val="9"/>
    <w:semiHidden/>
    <w:rsid w:val="005D6140"/>
    <w:rPr>
      <w:rFonts w:asciiTheme="majorHAnsi" w:eastAsiaTheme="majorEastAsia" w:hAnsiTheme="majorHAnsi" w:cstheme="majorBidi"/>
      <w:i/>
      <w:iCs/>
      <w:color w:val="243F60" w:themeColor="accent1" w:themeShade="7F"/>
    </w:rPr>
  </w:style>
  <w:style w:type="character" w:customStyle="1" w:styleId="Fyrirsgn8Staf">
    <w:name w:val="Fyrirsögn 8 Staf"/>
    <w:basedOn w:val="Sjlfgefinleturgermlsgreinar"/>
    <w:link w:val="Fyrirsgn8"/>
    <w:uiPriority w:val="9"/>
    <w:semiHidden/>
    <w:rsid w:val="005D6140"/>
    <w:rPr>
      <w:rFonts w:asciiTheme="majorHAnsi" w:eastAsiaTheme="majorEastAsia" w:hAnsiTheme="majorHAnsi" w:cstheme="majorBidi"/>
      <w:color w:val="272727" w:themeColor="text1" w:themeTint="D8"/>
      <w:sz w:val="21"/>
      <w:szCs w:val="21"/>
    </w:rPr>
  </w:style>
  <w:style w:type="character" w:customStyle="1" w:styleId="Fyrirsgn9Staf">
    <w:name w:val="Fyrirsögn 9 Staf"/>
    <w:basedOn w:val="Sjlfgefinleturgermlsgreinar"/>
    <w:link w:val="Fyrirsgn9"/>
    <w:uiPriority w:val="9"/>
    <w:semiHidden/>
    <w:rsid w:val="005D6140"/>
    <w:rPr>
      <w:rFonts w:asciiTheme="majorHAnsi" w:eastAsiaTheme="majorEastAsia" w:hAnsiTheme="majorHAnsi" w:cstheme="majorBidi"/>
      <w:i/>
      <w:iCs/>
      <w:color w:val="272727" w:themeColor="text1" w:themeTint="D8"/>
      <w:sz w:val="21"/>
      <w:szCs w:val="21"/>
    </w:rPr>
  </w:style>
  <w:style w:type="paragraph" w:styleId="Mlsgreinlista">
    <w:name w:val="List Paragraph"/>
    <w:basedOn w:val="Venjulegur"/>
    <w:qFormat/>
    <w:rsid w:val="005D6140"/>
    <w:pPr>
      <w:ind w:left="720"/>
      <w:contextualSpacing/>
    </w:pPr>
  </w:style>
  <w:style w:type="table" w:styleId="Hnitanettflu">
    <w:name w:val="Table Grid"/>
    <w:basedOn w:val="Tafla-venjuleg"/>
    <w:uiPriority w:val="59"/>
    <w:unhideWhenUsed/>
    <w:rsid w:val="005D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ftur">
    <w:name w:val="footer"/>
    <w:basedOn w:val="Venjulegur"/>
    <w:link w:val="SufturStaf"/>
    <w:uiPriority w:val="99"/>
    <w:unhideWhenUsed/>
    <w:rsid w:val="005D614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D6140"/>
  </w:style>
  <w:style w:type="paragraph" w:styleId="Blrutexti">
    <w:name w:val="Balloon Text"/>
    <w:basedOn w:val="Venjulegur"/>
    <w:link w:val="BlrutextiStaf"/>
    <w:uiPriority w:val="99"/>
    <w:semiHidden/>
    <w:unhideWhenUsed/>
    <w:rsid w:val="00A23152"/>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23152"/>
    <w:rPr>
      <w:rFonts w:ascii="Segoe UI" w:hAnsi="Segoe UI" w:cs="Segoe UI"/>
      <w:sz w:val="18"/>
      <w:szCs w:val="18"/>
    </w:rPr>
  </w:style>
  <w:style w:type="character" w:styleId="Tilvsunathugasemd">
    <w:name w:val="annotation reference"/>
    <w:basedOn w:val="Sjlfgefinleturgermlsgreinar"/>
    <w:uiPriority w:val="99"/>
    <w:semiHidden/>
    <w:unhideWhenUsed/>
    <w:rsid w:val="00552DF9"/>
    <w:rPr>
      <w:sz w:val="16"/>
      <w:szCs w:val="16"/>
    </w:rPr>
  </w:style>
  <w:style w:type="paragraph" w:styleId="Textiathugasemdar">
    <w:name w:val="annotation text"/>
    <w:basedOn w:val="Venjulegur"/>
    <w:link w:val="TextiathugasemdarStaf"/>
    <w:uiPriority w:val="99"/>
    <w:semiHidden/>
    <w:unhideWhenUsed/>
    <w:rsid w:val="00552DF9"/>
    <w:pPr>
      <w:spacing w:line="240" w:lineRule="auto"/>
    </w:pPr>
  </w:style>
  <w:style w:type="character" w:customStyle="1" w:styleId="TextiathugasemdarStaf">
    <w:name w:val="Texti athugasemdar Staf"/>
    <w:basedOn w:val="Sjlfgefinleturgermlsgreinar"/>
    <w:link w:val="Textiathugasemdar"/>
    <w:uiPriority w:val="99"/>
    <w:semiHidden/>
    <w:rsid w:val="00552DF9"/>
  </w:style>
  <w:style w:type="paragraph" w:styleId="Efniathugasemdar">
    <w:name w:val="annotation subject"/>
    <w:basedOn w:val="Textiathugasemdar"/>
    <w:next w:val="Textiathugasemdar"/>
    <w:link w:val="EfniathugasemdarStaf"/>
    <w:uiPriority w:val="99"/>
    <w:semiHidden/>
    <w:unhideWhenUsed/>
    <w:rsid w:val="00552DF9"/>
    <w:rPr>
      <w:b/>
      <w:bCs/>
    </w:rPr>
  </w:style>
  <w:style w:type="character" w:customStyle="1" w:styleId="EfniathugasemdarStaf">
    <w:name w:val="Efni athugasemdar Staf"/>
    <w:basedOn w:val="TextiathugasemdarStaf"/>
    <w:link w:val="Efniathugasemdar"/>
    <w:uiPriority w:val="99"/>
    <w:semiHidden/>
    <w:rsid w:val="00552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14872</Characters>
  <Application>Microsoft Office Word</Application>
  <DocSecurity>0</DocSecurity>
  <Lines>123</Lines>
  <Paragraphs>34</Paragraphs>
  <ScaleCrop>false</ScaleCrop>
  <HeadingPairs>
    <vt:vector size="2" baseType="variant">
      <vt:variant>
        <vt:lpstr>Titill</vt:lpstr>
      </vt:variant>
      <vt:variant>
        <vt:i4>1</vt:i4>
      </vt:variant>
    </vt:vector>
  </HeadingPairs>
  <TitlesOfParts>
    <vt:vector size="1" baseType="lpstr">
      <vt:lpstr/>
    </vt:vector>
  </TitlesOfParts>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2021-10-26T13:53:00Z</dcterms:created>
  <dcterms:modified xsi:type="dcterms:W3CDTF">2021-10-26T14:30:00Z</dcterms:modified>
</cp:coreProperties>
</file>